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9.7 -->
  <w:body>
    <w:p w:rsidR="00F45DB3" w:rsidRPr="00284DC3" w:rsidP="00284DC3" w14:paraId="44B86D5B" w14:textId="65A53138">
      <w:pPr>
        <w:pStyle w:val="Title"/>
        <w:sectPr w:rsidSect="00B93CC2">
          <w:headerReference w:type="even" r:id="rId5"/>
          <w:headerReference w:type="default" r:id="rId6"/>
          <w:footerReference w:type="even" r:id="rId7"/>
          <w:footerReference w:type="default" r:id="rId8"/>
          <w:headerReference w:type="first" r:id="rId9"/>
          <w:footerReference w:type="first" r:id="rId10"/>
          <w:type w:val="continuous"/>
          <w:pgSz w:w="16838" w:h="11906" w:orient="landscape"/>
          <w:pgMar w:top="1814" w:right="737" w:bottom="1247" w:left="737" w:header="720" w:footer="720" w:gutter="0"/>
          <w:pgBorders w:zOrder="front" w:display="allPages" w:offsetFrom="text">
            <w:top w:val="nil"/>
            <w:left w:val="nil"/>
            <w:bottom w:val="nil"/>
            <w:right w:val="nil"/>
          </w:pgBorders>
          <w:cols w:space="720"/>
          <w:vAlign w:val="top"/>
          <w:titlePg w:val="0"/>
          <w:rtlGutter w:val="0"/>
          <w:docGrid w:linePitch="360"/>
        </w:sectPr>
      </w:pPr>
      <w:bookmarkStart w:id="0" w:name="RG_MARKER_3969"/>
      <w:bookmarkStart w:id="1" w:name="RG_MARKER_3906"/>
      <w:r w:rsidRPr="00284DC3">
        <w:t>BOARD OF DIRECTORS' REPORT</w:t>
      </w:r>
      <w:bookmarkEnd w:id="1"/>
      <w:bookmarkEnd w:id="0"/>
    </w:p>
    <w:p w:rsidR="00F45DB3" w:rsidRPr="008625E1" w:rsidP="008625E1" w14:paraId="44B86D5C" w14:textId="0223ED89">
      <w:pPr>
        <w:pStyle w:val="Heading2"/>
      </w:pPr>
      <w:r w:rsidRPr="008625E1">
        <w:t>BUSINESS MODEL</w:t>
      </w:r>
    </w:p>
    <w:p w:rsidR="00C67EB2" w:rsidRPr="00284DC3" w:rsidP="003E7096" w14:paraId="04C84266" w14:textId="70D4A402">
      <w:pPr>
        <w:pStyle w:val="WNormal"/>
        <w:spacing w:after="240" w:line="276" w:lineRule="auto"/>
        <w:rPr>
          <w:spacing w:val="2"/>
          <w:sz w:val="17"/>
          <w:szCs w:val="17"/>
          <w:lang w:val="en-GB"/>
        </w:rPr>
      </w:pPr>
      <w:r w:rsidRPr="00C67EB2">
        <w:rPr>
          <w:spacing w:val="2"/>
          <w:sz w:val="17"/>
          <w:szCs w:val="17"/>
          <w:lang w:val="en-GB"/>
        </w:rPr>
        <w:t>W</w:t>
      </w:r>
      <w:r w:rsidRPr="00C67EB2">
        <w:rPr>
          <w:spacing w:val="2"/>
          <w:sz w:val="17"/>
          <w:szCs w:val="17"/>
          <w:lang w:val="en-GB"/>
        </w:rPr>
        <w:t xml:space="preserve">ärtsilä provides the marine and energy markets with smart technologies and optimised lifecycle services. </w:t>
      </w:r>
      <w:r w:rsidRPr="00284DC3">
        <w:rPr>
          <w:spacing w:val="2"/>
          <w:sz w:val="17"/>
          <w:szCs w:val="17"/>
          <w:lang w:val="en-GB"/>
        </w:rPr>
        <w:t>In the energy industry, Wärtsilä offers flexible power plants as well as energy management and storage systems on an equipment only or turnkey delivery</w:t>
      </w:r>
      <w:r w:rsidRPr="00284DC3">
        <w:rPr>
          <w:spacing w:val="2"/>
          <w:sz w:val="17"/>
          <w:szCs w:val="17"/>
          <w:lang w:val="en-GB"/>
        </w:rPr>
        <w:t xml:space="preserve"> basis. The marine offering </w:t>
      </w:r>
      <w:r>
        <w:rPr>
          <w:spacing w:val="2"/>
          <w:sz w:val="17"/>
          <w:szCs w:val="17"/>
          <w:lang w:val="en-GB"/>
        </w:rPr>
        <w:t>includes</w:t>
      </w:r>
      <w:r w:rsidRPr="00284DC3">
        <w:rPr>
          <w:spacing w:val="2"/>
          <w:sz w:val="17"/>
          <w:szCs w:val="17"/>
          <w:lang w:val="en-GB"/>
        </w:rPr>
        <w:t xml:space="preserve"> power</w:t>
      </w:r>
      <w:r>
        <w:rPr>
          <w:spacing w:val="2"/>
          <w:sz w:val="17"/>
          <w:szCs w:val="17"/>
          <w:lang w:val="en-GB"/>
        </w:rPr>
        <w:t xml:space="preserve"> systems,</w:t>
      </w:r>
      <w:r w:rsidRPr="00284DC3">
        <w:rPr>
          <w:spacing w:val="2"/>
          <w:sz w:val="17"/>
          <w:szCs w:val="17"/>
          <w:lang w:val="en-GB"/>
        </w:rPr>
        <w:t xml:space="preserve"> voyage</w:t>
      </w:r>
      <w:r>
        <w:rPr>
          <w:spacing w:val="2"/>
          <w:sz w:val="17"/>
          <w:szCs w:val="17"/>
          <w:lang w:val="en-GB"/>
        </w:rPr>
        <w:t xml:space="preserve"> </w:t>
      </w:r>
      <w:r w:rsidRPr="00475B54">
        <w:rPr>
          <w:spacing w:val="2"/>
          <w:sz w:val="17"/>
          <w:szCs w:val="17"/>
          <w:lang w:val="en-GB"/>
        </w:rPr>
        <w:t>solutions, as well as exhaust treatment applications, gas solutions, and shaft line solutions.</w:t>
      </w:r>
      <w:r w:rsidRPr="00284DC3">
        <w:rPr>
          <w:spacing w:val="2"/>
          <w:sz w:val="17"/>
          <w:szCs w:val="17"/>
          <w:lang w:val="en-GB"/>
        </w:rPr>
        <w:t xml:space="preserve"> Wärtsilä has the capabilities needed to combine its marine products into larger integrated systems and</w:t>
      </w:r>
      <w:r w:rsidRPr="00284DC3">
        <w:rPr>
          <w:spacing w:val="2"/>
          <w:sz w:val="17"/>
          <w:szCs w:val="17"/>
          <w:lang w:val="en-GB"/>
        </w:rPr>
        <w:t xml:space="preserve"> solutions. Wärtsilä’s portfolio of services ranges from spare parts and technical expertise, to lifecycle solutions ensuring a maximised installation lifetime, increased efficiency, and guaranteed performance. The company aims at maximising environmental </w:t>
      </w:r>
      <w:r w:rsidRPr="00284DC3">
        <w:rPr>
          <w:spacing w:val="2"/>
          <w:sz w:val="17"/>
          <w:szCs w:val="17"/>
          <w:lang w:val="en-GB"/>
        </w:rPr>
        <w:t xml:space="preserve">and economic performance by emphasising sustainable, data-driven innovation and total efficiency. </w:t>
      </w:r>
    </w:p>
    <w:p w:rsidR="00397E7D" w:rsidP="003E7096" w14:paraId="44B86D5E" w14:textId="4F6E51E2">
      <w:pPr>
        <w:pStyle w:val="WNormal"/>
        <w:spacing w:after="240" w:line="276" w:lineRule="auto"/>
        <w:rPr>
          <w:spacing w:val="2"/>
          <w:sz w:val="17"/>
          <w:szCs w:val="17"/>
          <w:lang w:val="en-GB"/>
        </w:rPr>
      </w:pPr>
      <w:r w:rsidRPr="00C67EB2">
        <w:rPr>
          <w:spacing w:val="2"/>
          <w:sz w:val="17"/>
          <w:szCs w:val="17"/>
          <w:lang w:val="en-GB"/>
        </w:rPr>
        <w:t xml:space="preserve">To support its geographically dispersed customer base, Wärtsilä’s sales and service network covers </w:t>
      </w:r>
      <w:r>
        <w:rPr>
          <w:spacing w:val="2"/>
          <w:sz w:val="17"/>
          <w:szCs w:val="17"/>
          <w:lang w:val="en-GB"/>
        </w:rPr>
        <w:t>258</w:t>
      </w:r>
      <w:r w:rsidRPr="00C67EB2">
        <w:rPr>
          <w:spacing w:val="2"/>
          <w:sz w:val="17"/>
          <w:szCs w:val="17"/>
          <w:lang w:val="en-GB"/>
        </w:rPr>
        <w:t xml:space="preserve"> locations in </w:t>
      </w:r>
      <w:r>
        <w:rPr>
          <w:spacing w:val="2"/>
          <w:sz w:val="17"/>
          <w:szCs w:val="17"/>
          <w:lang w:val="en-GB"/>
        </w:rPr>
        <w:t>73</w:t>
      </w:r>
      <w:r w:rsidRPr="00C67EB2">
        <w:rPr>
          <w:spacing w:val="2"/>
          <w:sz w:val="17"/>
          <w:szCs w:val="17"/>
          <w:lang w:val="en-GB"/>
        </w:rPr>
        <w:t xml:space="preserve"> countries around the world. </w:t>
      </w:r>
      <w:r w:rsidRPr="00284DC3">
        <w:rPr>
          <w:spacing w:val="2"/>
          <w:sz w:val="17"/>
          <w:szCs w:val="17"/>
          <w:lang w:val="en-GB"/>
        </w:rPr>
        <w:t>Wärtsilä o</w:t>
      </w:r>
      <w:r w:rsidRPr="00284DC3">
        <w:rPr>
          <w:spacing w:val="2"/>
          <w:sz w:val="17"/>
          <w:szCs w:val="17"/>
          <w:lang w:val="en-GB"/>
        </w:rPr>
        <w:t xml:space="preserve">perates primarily through its subsidiaries and strategic joint ventures. The company’s manufacturing model is assembly based, thus emphasising the importance of developing long-term relationships with its global network of suppliers, which consists of </w:t>
      </w:r>
      <w:r w:rsidRPr="004B5C32">
        <w:rPr>
          <w:spacing w:val="2"/>
          <w:sz w:val="17"/>
          <w:szCs w:val="17"/>
          <w:lang w:val="en-GB"/>
        </w:rPr>
        <w:t>appr</w:t>
      </w:r>
      <w:r w:rsidRPr="004B5C32">
        <w:rPr>
          <w:spacing w:val="2"/>
          <w:sz w:val="17"/>
          <w:szCs w:val="17"/>
          <w:lang w:val="en-GB"/>
        </w:rPr>
        <w:t>oximately 1,200 global direct suppliers.</w:t>
      </w:r>
      <w:r w:rsidRPr="00284DC3">
        <w:rPr>
          <w:spacing w:val="2"/>
          <w:sz w:val="17"/>
          <w:szCs w:val="17"/>
          <w:lang w:val="en-GB"/>
        </w:rPr>
        <w:t xml:space="preserve"> Wärtsilä’s personnel is made up of </w:t>
      </w:r>
      <w:r>
        <w:rPr>
          <w:spacing w:val="2"/>
          <w:sz w:val="17"/>
          <w:szCs w:val="17"/>
          <w:lang w:val="en-GB"/>
        </w:rPr>
        <w:t xml:space="preserve">approximately </w:t>
      </w:r>
      <w:r w:rsidRPr="004B5C32">
        <w:rPr>
          <w:spacing w:val="2"/>
          <w:sz w:val="17"/>
          <w:szCs w:val="17"/>
          <w:lang w:val="en-GB"/>
        </w:rPr>
        <w:t>18,000</w:t>
      </w:r>
      <w:r w:rsidRPr="00284DC3">
        <w:rPr>
          <w:spacing w:val="2"/>
          <w:sz w:val="17"/>
          <w:szCs w:val="17"/>
          <w:lang w:val="en-GB"/>
        </w:rPr>
        <w:t xml:space="preserve"> employees comprising </w:t>
      </w:r>
      <w:r>
        <w:rPr>
          <w:spacing w:val="2"/>
          <w:sz w:val="17"/>
          <w:szCs w:val="17"/>
          <w:lang w:val="en-GB"/>
        </w:rPr>
        <w:t>139</w:t>
      </w:r>
      <w:r w:rsidRPr="00284DC3">
        <w:rPr>
          <w:spacing w:val="2"/>
          <w:sz w:val="17"/>
          <w:szCs w:val="17"/>
          <w:lang w:val="en-GB"/>
        </w:rPr>
        <w:t xml:space="preserve"> nationalities. By recruiting and retaining the best talent, Wärtsilä is able to be the most valued business partner to its customers, and the e</w:t>
      </w:r>
      <w:r w:rsidRPr="00284DC3">
        <w:rPr>
          <w:spacing w:val="2"/>
          <w:sz w:val="17"/>
          <w:szCs w:val="17"/>
          <w:lang w:val="en-GB"/>
        </w:rPr>
        <w:t>mployer of choice for current and future employees. Wärtsilä is committed to conducting its business in a responsible manner, and promotes responsible practices throughout its value chain.</w:t>
      </w:r>
    </w:p>
    <w:p w:rsidR="0076174B" w:rsidRPr="00284DC3" w:rsidP="0076174B" w14:paraId="57425956" w14:textId="77777777">
      <w:pPr>
        <w:pStyle w:val="WHeadingException3"/>
      </w:pPr>
      <w:r>
        <w:t xml:space="preserve"> </w:t>
      </w:r>
    </w:p>
    <w:p w:rsidR="00505394" w:rsidP="00B3422D" w14:paraId="7C0FA3E6" w14:textId="77777777">
      <w:pPr>
        <w:pStyle w:val="WHeadingException2"/>
      </w:pPr>
      <w:bookmarkStart w:id="2" w:name="RG_MARKER_5355"/>
      <w:r>
        <w:t>CEO APPOINTMENT</w:t>
      </w:r>
      <w:bookmarkEnd w:id="2"/>
    </w:p>
    <w:p w:rsidR="00063888" w:rsidP="00063888" w14:paraId="7F0FB1E7" w14:textId="77777777">
      <w:pPr>
        <w:pStyle w:val="Wnormal0"/>
      </w:pPr>
      <w:r>
        <w:t xml:space="preserve">In September, Håkan Agnevall (b. 1966, M.Sc. (Tech), MBA) was appointed as the new President and CEO for Wärtsilä Corporation. Mr Agnevall assumed the role on 1 February 2021. He succeeds Jaakko Eskola, who will continue as a senior </w:t>
      </w:r>
      <w:r>
        <w:t>advisor to the Board and executive team until he retires on 30 June 2021.</w:t>
      </w:r>
    </w:p>
    <w:p w:rsidR="00063888" w:rsidRPr="004A461A" w:rsidP="00977BA3" w14:paraId="1828D4CB" w14:textId="77777777">
      <w:pPr>
        <w:pStyle w:val="Wnormal0"/>
      </w:pPr>
      <w:r>
        <w:t xml:space="preserve">Mr Agnevall has a proven record of developing organisations and businesses with a strong focus on customers, technology, and people. His experience in pioneering electrification and </w:t>
      </w:r>
      <w:r>
        <w:t>autonomous transportation will strengthen Wärtsilä’s activities in corresponding areas.</w:t>
      </w:r>
    </w:p>
    <w:p w:rsidR="00505394" w:rsidRPr="004A461A" w:rsidP="0055291E">
      <w:pPr>
        <w:pStyle w:val="WHeading20"/>
      </w:pPr>
      <w:bookmarkStart w:id="3" w:name="RG_MARKER_3970"/>
      <w:r w:rsidRPr="004A461A">
        <w:t>STRATEGY</w:t>
      </w:r>
      <w:bookmarkEnd w:id="3"/>
    </w:p>
    <w:p w:rsidR="00505394" w:rsidRPr="00585FF5" w:rsidP="00585FF5">
      <w:pPr>
        <w:pStyle w:val="WHeading3"/>
      </w:pPr>
      <w:r w:rsidRPr="00585FF5">
        <w:t xml:space="preserve">Strategy implementation in </w:t>
      </w:r>
      <w:r w:rsidRPr="00585FF5">
        <w:t>2020</w:t>
      </w:r>
    </w:p>
    <w:p w:rsidR="001A2814" w:rsidP="004F6AFD">
      <w:pPr>
        <w:pStyle w:val="Wnormal0"/>
      </w:pPr>
      <w:r w:rsidRPr="001A2814">
        <w:t>Despite the COVID-19 related disruptions to business operations, Wärtsilä’s</w:t>
      </w:r>
      <w:r w:rsidRPr="001A2814">
        <w:t xml:space="preserve"> commitment to R&amp;D activities has remained unchanged. The year saw progress in future</w:t>
      </w:r>
      <w:r>
        <w:t>-</w:t>
      </w:r>
      <w:r w:rsidRPr="001A2814">
        <w:t>proofing engine technology in line with the global trend towards</w:t>
      </w:r>
      <w:r>
        <w:t xml:space="preserve"> the</w:t>
      </w:r>
      <w:r w:rsidRPr="001A2814">
        <w:t xml:space="preserve"> decarbonisation of the energy and marine markets</w:t>
      </w:r>
      <w:r>
        <w:t>. This was</w:t>
      </w:r>
      <w:r w:rsidRPr="001A2814">
        <w:t xml:space="preserve"> demonstrated by the initiation of full-sca</w:t>
      </w:r>
      <w:r w:rsidRPr="001A2814">
        <w:t>le testing of ammonia as a fuel in Wärtsilä’s four-stroke combustion engine</w:t>
      </w:r>
      <w:r>
        <w:t>,</w:t>
      </w:r>
      <w:r w:rsidRPr="001A2814">
        <w:t xml:space="preserve"> as well as </w:t>
      </w:r>
      <w:r>
        <w:t xml:space="preserve">with </w:t>
      </w:r>
      <w:r w:rsidRPr="001A2814">
        <w:t xml:space="preserve">the announcement of efforts to develop the combustion process in gas engines </w:t>
      </w:r>
      <w:r>
        <w:t xml:space="preserve">to </w:t>
      </w:r>
      <w:r w:rsidRPr="001A2814">
        <w:t>enabl</w:t>
      </w:r>
      <w:r>
        <w:t>e</w:t>
      </w:r>
      <w:r w:rsidRPr="001A2814">
        <w:t xml:space="preserve"> them over time to burn 100% hydrogen fuel. Several new concepts utilising co</w:t>
      </w:r>
      <w:r w:rsidRPr="001A2814">
        <w:t>nnectivity and digitalisation to enhance efficiency, sustainability</w:t>
      </w:r>
      <w:r>
        <w:t>,</w:t>
      </w:r>
      <w:r w:rsidRPr="001A2814">
        <w:t xml:space="preserve"> and </w:t>
      </w:r>
      <w:r>
        <w:t xml:space="preserve">the </w:t>
      </w:r>
      <w:r w:rsidRPr="001A2814">
        <w:t xml:space="preserve">safety of customer operations were also introduced. These included solutions for smart navigation, remote support services, as well as a cloud simulation platform enabling remote </w:t>
      </w:r>
      <w:r w:rsidRPr="001A2814">
        <w:t>training. For the energy ma</w:t>
      </w:r>
      <w:r>
        <w:t>r</w:t>
      </w:r>
      <w:r w:rsidRPr="001A2814">
        <w:t>kets</w:t>
      </w:r>
      <w:r>
        <w:t>,</w:t>
      </w:r>
      <w:r w:rsidRPr="001A2814">
        <w:t xml:space="preserve"> Wärtsilä launched the Energy Transition Lab, an open-data platform for the energy industry </w:t>
      </w:r>
      <w:r w:rsidRPr="00F727BA">
        <w:t>to understand the impact of greater utilisation of renewable energy and the effects of COVID-19, and help accelerate the energy tra</w:t>
      </w:r>
      <w:r w:rsidRPr="00F727BA">
        <w:t>nsition</w:t>
      </w:r>
      <w:r w:rsidRPr="001A2814">
        <w:t>.</w:t>
      </w:r>
    </w:p>
    <w:p w:rsidR="009D6B49" w:rsidP="004F6AFD">
      <w:pPr>
        <w:pStyle w:val="Wnormal0"/>
      </w:pPr>
      <w:r w:rsidRPr="00F727BA">
        <w:t>Wärtsilä’s emphasis on developing solutions utilising the latest technology, in line with its Smart Marine and Smart Energy strategies, resulted</w:t>
      </w:r>
      <w:r w:rsidRPr="00E41A70">
        <w:t xml:space="preserve"> a number of important orders during the year. In the marine markets, Wärtsilä received several orders </w:t>
      </w:r>
      <w:r w:rsidRPr="00E41A70">
        <w:t xml:space="preserve">for hybrid solutions, </w:t>
      </w:r>
      <w:r>
        <w:t>including</w:t>
      </w:r>
      <w:r w:rsidRPr="00E41A70">
        <w:t xml:space="preserve"> a contract to supply a fully integrated Wärtsilä hybrid solution for Misje </w:t>
      </w:r>
      <w:r w:rsidRPr="00E41A70">
        <w:t xml:space="preserve">Rederi’s three newbuild eco-friendly 5,000 DWT bulk carriers. Moreover, the order from UltraShip Denmark to install </w:t>
      </w:r>
      <w:r>
        <w:t>the cloud-based Wärtsilä Fleet Op</w:t>
      </w:r>
      <w:r>
        <w:t>erations Solution (</w:t>
      </w:r>
      <w:r w:rsidRPr="00E41A70">
        <w:t>FOS</w:t>
      </w:r>
      <w:r>
        <w:t>)</w:t>
      </w:r>
      <w:r w:rsidRPr="00E41A70">
        <w:t xml:space="preserve"> across their entire fleet demonstrates market development towards digital solutions to improve efficiency and </w:t>
      </w:r>
      <w:r>
        <w:t xml:space="preserve">lessen </w:t>
      </w:r>
      <w:r w:rsidRPr="00E41A70">
        <w:t xml:space="preserve">environmental impact. </w:t>
      </w:r>
      <w:r>
        <w:t>In the energy sector, t</w:t>
      </w:r>
      <w:r w:rsidRPr="00E41A70">
        <w:t>he need for flexible power solutions to support the expansion of renew</w:t>
      </w:r>
      <w:r w:rsidRPr="00E41A70">
        <w:t xml:space="preserve">able energy and secure grid reliability was illustrated by the resilience of activity in the energy storage markets. </w:t>
      </w:r>
      <w:r>
        <w:t>Awarded</w:t>
      </w:r>
      <w:r w:rsidRPr="00E41A70">
        <w:t xml:space="preserve"> contracts included the first order for the GridSolv Quantum energy storage system, a fully integrated modular and compact </w:t>
      </w:r>
      <w:r>
        <w:t>solution</w:t>
      </w:r>
      <w:r w:rsidRPr="00E41A70">
        <w:t xml:space="preserve"> </w:t>
      </w:r>
      <w:r w:rsidRPr="00E41A70">
        <w:t xml:space="preserve">that enables the rapid deployment of cost-effective energy storage. </w:t>
      </w:r>
      <w:r w:rsidRPr="006F1D83">
        <w:t>Another order reflecting the benefits of flexibility was the contract received in Europe to deliver four natural gas driven power plants with a combined output of nearly 300 MW. The new fa</w:t>
      </w:r>
      <w:r w:rsidRPr="006F1D83">
        <w:t xml:space="preserve">st-starting plants will provide flexible system balancing </w:t>
      </w:r>
      <w:r>
        <w:t>as</w:t>
      </w:r>
      <w:r w:rsidRPr="006F1D83">
        <w:t xml:space="preserve"> more renewable power is incorporated into the power system.</w:t>
      </w:r>
      <w:r w:rsidRPr="009D6B49">
        <w:t xml:space="preserve">   </w:t>
      </w:r>
    </w:p>
    <w:p w:rsidR="00457BED" w:rsidP="004F6AFD">
      <w:pPr>
        <w:pStyle w:val="Wnormal0"/>
      </w:pPr>
      <w:r w:rsidRPr="004F6AFD">
        <w:t>Collaboration with industry stakeholders is an essential element in the development of technologies needed to meet changing market r</w:t>
      </w:r>
      <w:r w:rsidRPr="004F6AFD">
        <w:t>equirements</w:t>
      </w:r>
      <w:r>
        <w:t xml:space="preserve">. Joint efforts </w:t>
      </w:r>
      <w:r w:rsidRPr="00457BED">
        <w:t>includ</w:t>
      </w:r>
      <w:r>
        <w:t>ed</w:t>
      </w:r>
      <w:r w:rsidRPr="00457BED">
        <w:t xml:space="preserve"> agreements aimed at accelerating the marine industry’s ongoing digital transformation, developing autonomous shipping, and exploring the use of new technologies and alternative fuels to promote decarbonisation efforts. </w:t>
      </w:r>
    </w:p>
    <w:p w:rsidR="000E3E47" w:rsidP="003F69CD">
      <w:pPr>
        <w:pStyle w:val="WHeading3"/>
        <w:rPr>
          <w:b w:val="0"/>
          <w:bCs w:val="0"/>
          <w:color w:val="111111"/>
          <w:spacing w:val="2"/>
        </w:rPr>
      </w:pPr>
      <w:r>
        <w:rPr>
          <w:b w:val="0"/>
          <w:bCs w:val="0"/>
          <w:color w:val="111111"/>
          <w:spacing w:val="2"/>
        </w:rPr>
        <w:t>While the</w:t>
      </w:r>
      <w:r w:rsidRPr="000E3E47">
        <w:rPr>
          <w:b w:val="0"/>
          <w:bCs w:val="0"/>
          <w:color w:val="111111"/>
          <w:spacing w:val="2"/>
        </w:rPr>
        <w:t xml:space="preserve"> health and safety of personnel is a continuous priority for Wärtsilä, </w:t>
      </w:r>
      <w:r>
        <w:rPr>
          <w:b w:val="0"/>
          <w:bCs w:val="0"/>
          <w:color w:val="111111"/>
          <w:spacing w:val="2"/>
        </w:rPr>
        <w:t xml:space="preserve">it reached a new level of importance </w:t>
      </w:r>
      <w:r w:rsidRPr="000E3E47">
        <w:rPr>
          <w:b w:val="0"/>
          <w:bCs w:val="0"/>
          <w:color w:val="111111"/>
          <w:spacing w:val="2"/>
        </w:rPr>
        <w:t xml:space="preserve">in 2020 </w:t>
      </w:r>
      <w:r>
        <w:rPr>
          <w:b w:val="0"/>
          <w:bCs w:val="0"/>
          <w:color w:val="111111"/>
          <w:spacing w:val="2"/>
        </w:rPr>
        <w:t xml:space="preserve">with </w:t>
      </w:r>
      <w:r w:rsidRPr="000E3E47">
        <w:rPr>
          <w:b w:val="0"/>
          <w:bCs w:val="0"/>
          <w:color w:val="111111"/>
          <w:spacing w:val="2"/>
        </w:rPr>
        <w:t>the onset of the global C</w:t>
      </w:r>
      <w:r w:rsidR="005F647B">
        <w:rPr>
          <w:b w:val="0"/>
          <w:bCs w:val="0"/>
          <w:color w:val="111111"/>
          <w:spacing w:val="2"/>
        </w:rPr>
        <w:t>OVID</w:t>
      </w:r>
      <w:r w:rsidRPr="000E3E47">
        <w:rPr>
          <w:b w:val="0"/>
          <w:bCs w:val="0"/>
          <w:color w:val="111111"/>
          <w:spacing w:val="2"/>
        </w:rPr>
        <w:t xml:space="preserve">-19 pandemic. </w:t>
      </w:r>
      <w:r w:rsidRPr="000E3E47">
        <w:rPr>
          <w:b w:val="0"/>
          <w:bCs w:val="0"/>
          <w:color w:val="111111"/>
          <w:spacing w:val="2"/>
        </w:rPr>
        <w:t xml:space="preserve">Wärtsilä maintains a diverse global workforce </w:t>
      </w:r>
      <w:r>
        <w:rPr>
          <w:b w:val="0"/>
          <w:bCs w:val="0"/>
          <w:color w:val="111111"/>
          <w:spacing w:val="2"/>
        </w:rPr>
        <w:t>with</w:t>
      </w:r>
      <w:r w:rsidRPr="000E3E47">
        <w:rPr>
          <w:b w:val="0"/>
          <w:bCs w:val="0"/>
          <w:color w:val="111111"/>
          <w:spacing w:val="2"/>
        </w:rPr>
        <w:t xml:space="preserve"> thousands of employees perform</w:t>
      </w:r>
      <w:r>
        <w:rPr>
          <w:b w:val="0"/>
          <w:bCs w:val="0"/>
          <w:color w:val="111111"/>
          <w:spacing w:val="2"/>
        </w:rPr>
        <w:t>ing</w:t>
      </w:r>
      <w:r w:rsidRPr="000E3E47">
        <w:rPr>
          <w:b w:val="0"/>
          <w:bCs w:val="0"/>
          <w:color w:val="111111"/>
          <w:spacing w:val="2"/>
        </w:rPr>
        <w:t xml:space="preserve"> tasks onsite, either in the field or at customer premises. By establishing a global crisis response team and local country incident management teams, it was possible to mo</w:t>
      </w:r>
      <w:r w:rsidRPr="000E3E47">
        <w:rPr>
          <w:b w:val="0"/>
          <w:bCs w:val="0"/>
          <w:color w:val="111111"/>
          <w:spacing w:val="2"/>
        </w:rPr>
        <w:t xml:space="preserve">nitor </w:t>
      </w:r>
      <w:r>
        <w:rPr>
          <w:b w:val="0"/>
          <w:bCs w:val="0"/>
          <w:color w:val="111111"/>
          <w:spacing w:val="2"/>
        </w:rPr>
        <w:t xml:space="preserve">and act upon </w:t>
      </w:r>
      <w:r w:rsidRPr="000E3E47">
        <w:rPr>
          <w:b w:val="0"/>
          <w:bCs w:val="0"/>
          <w:color w:val="111111"/>
          <w:spacing w:val="2"/>
        </w:rPr>
        <w:t xml:space="preserve">the rapidly developing situation. Global mobility was secured whilst observing appropriate safety and precautionary measures. </w:t>
      </w:r>
      <w:r>
        <w:rPr>
          <w:b w:val="0"/>
          <w:bCs w:val="0"/>
          <w:color w:val="111111"/>
          <w:spacing w:val="2"/>
        </w:rPr>
        <w:t xml:space="preserve">Numerous </w:t>
      </w:r>
      <w:r w:rsidRPr="000E3E47">
        <w:rPr>
          <w:b w:val="0"/>
          <w:bCs w:val="0"/>
          <w:color w:val="111111"/>
          <w:spacing w:val="2"/>
        </w:rPr>
        <w:t xml:space="preserve">Wärtsilä employees resorted to performing their work remotely. In order </w:t>
      </w:r>
      <w:r w:rsidR="005F647B">
        <w:rPr>
          <w:b w:val="0"/>
          <w:bCs w:val="0"/>
          <w:color w:val="111111"/>
          <w:spacing w:val="2"/>
        </w:rPr>
        <w:t xml:space="preserve">to </w:t>
      </w:r>
      <w:r w:rsidRPr="00F727BA">
        <w:rPr>
          <w:b w:val="0"/>
          <w:bCs w:val="0"/>
          <w:color w:val="111111"/>
          <w:spacing w:val="2"/>
        </w:rPr>
        <w:t>accommodate this way of wor</w:t>
      </w:r>
      <w:r w:rsidRPr="00F727BA">
        <w:rPr>
          <w:b w:val="0"/>
          <w:bCs w:val="0"/>
          <w:color w:val="111111"/>
          <w:spacing w:val="2"/>
        </w:rPr>
        <w:t xml:space="preserve">king, and </w:t>
      </w:r>
      <w:r w:rsidR="005F647B">
        <w:rPr>
          <w:b w:val="0"/>
          <w:bCs w:val="0"/>
          <w:color w:val="111111"/>
          <w:spacing w:val="2"/>
        </w:rPr>
        <w:t xml:space="preserve">to </w:t>
      </w:r>
      <w:r w:rsidRPr="00F727BA">
        <w:rPr>
          <w:b w:val="0"/>
          <w:bCs w:val="0"/>
          <w:color w:val="111111"/>
          <w:spacing w:val="2"/>
        </w:rPr>
        <w:t>ensure</w:t>
      </w:r>
      <w:r w:rsidR="009E2DB5">
        <w:rPr>
          <w:b w:val="0"/>
          <w:bCs w:val="0"/>
          <w:color w:val="111111"/>
          <w:spacing w:val="2"/>
        </w:rPr>
        <w:t xml:space="preserve"> that</w:t>
      </w:r>
      <w:r w:rsidRPr="00F727BA">
        <w:rPr>
          <w:b w:val="0"/>
          <w:bCs w:val="0"/>
          <w:color w:val="111111"/>
          <w:spacing w:val="2"/>
        </w:rPr>
        <w:t xml:space="preserve"> the change of routine functioned smoothly, </w:t>
      </w:r>
      <w:r w:rsidRPr="000E3E47">
        <w:rPr>
          <w:b w:val="0"/>
          <w:bCs w:val="0"/>
          <w:color w:val="111111"/>
          <w:spacing w:val="2"/>
        </w:rPr>
        <w:t>Wärtsilä provided employees with digital collaboration tools and methods. Furthermore, guidelines and devices were provided to secure an appropriate working environment at their homes. Zer</w:t>
      </w:r>
      <w:r w:rsidRPr="000E3E47">
        <w:rPr>
          <w:b w:val="0"/>
          <w:bCs w:val="0"/>
          <w:color w:val="111111"/>
          <w:spacing w:val="2"/>
        </w:rPr>
        <w:t xml:space="preserve">o lost-time injuries continues to be the company’s global target. During 2020, lost-time injury frequency was </w:t>
      </w:r>
      <w:r>
        <w:rPr>
          <w:b w:val="0"/>
          <w:bCs w:val="0"/>
          <w:color w:val="111111"/>
          <w:spacing w:val="2"/>
        </w:rPr>
        <w:t>2.03</w:t>
      </w:r>
      <w:r w:rsidRPr="000E3E47">
        <w:rPr>
          <w:b w:val="0"/>
          <w:bCs w:val="0"/>
          <w:color w:val="111111"/>
          <w:spacing w:val="2"/>
        </w:rPr>
        <w:t xml:space="preserve"> (2.25), which represents a decrease of 1</w:t>
      </w:r>
      <w:r>
        <w:rPr>
          <w:b w:val="0"/>
          <w:bCs w:val="0"/>
          <w:color w:val="111111"/>
          <w:spacing w:val="2"/>
        </w:rPr>
        <w:t>0</w:t>
      </w:r>
      <w:r w:rsidRPr="000E3E47">
        <w:rPr>
          <w:b w:val="0"/>
          <w:bCs w:val="0"/>
          <w:color w:val="111111"/>
          <w:spacing w:val="2"/>
        </w:rPr>
        <w:t xml:space="preserve">% compared to the previous year. </w:t>
      </w:r>
    </w:p>
    <w:p w:rsidR="000E3E47" w:rsidP="005A5F23">
      <w:pPr>
        <w:pStyle w:val="WHeading4"/>
      </w:pPr>
    </w:p>
    <w:p w:rsidR="00505394" w:rsidRPr="009B0F5E" w:rsidP="009124E4">
      <w:pPr>
        <w:pStyle w:val="WHeadingException1"/>
      </w:pPr>
      <w:r w:rsidRPr="009B0F5E">
        <w:t xml:space="preserve">Financial targets and outcome in </w:t>
      </w:r>
      <w:r w:rsidR="00E31E0C">
        <w:t>2020</w:t>
      </w:r>
    </w:p>
    <w:p w:rsidR="00A009B4" w:rsidRPr="00A009B4" w:rsidP="004F6AFD">
      <w:pPr>
        <w:pStyle w:val="Wnormal0"/>
      </w:pPr>
      <w:r w:rsidRPr="00A009B4">
        <w:t>Wärtsilä’s lon</w:t>
      </w:r>
      <w:r w:rsidRPr="00A009B4">
        <w:t xml:space="preserve">g-term financial target is to grow faster than global GDP, and to maintain its operating profit margin between 14% at the peak of the cycle and 10% at the trough. Furthermore, the target is to maintain gearing below 0.50, and to pay a dividend of at least </w:t>
      </w:r>
      <w:r w:rsidRPr="00A009B4">
        <w:t xml:space="preserve">50% of earnings per share over the cycle. </w:t>
      </w:r>
    </w:p>
    <w:p w:rsidR="00AD18E9" w:rsidRPr="009B0F5E" w:rsidP="00CA4BCD">
      <w:pPr>
        <w:pStyle w:val="Wnormal0"/>
      </w:pPr>
      <w:r w:rsidRPr="00457BED">
        <w:t xml:space="preserve">Wärtsilä’s financial performance in 2020 was below the long-term target, as a result of the effects of the COVID-19 pandemic on the company’s demand environment and business operations. </w:t>
      </w:r>
      <w:r>
        <w:t>N</w:t>
      </w:r>
      <w:r w:rsidRPr="00457BED">
        <w:t>et sales for 2020 declined</w:t>
      </w:r>
      <w:r w:rsidRPr="00457BED">
        <w:t xml:space="preserve"> by 11%, bringing Wärtsilä’s five-year compound annual growth rate to -2%. The</w:t>
      </w:r>
      <w:r w:rsidRPr="00513F3F" w:rsidR="00513F3F">
        <w:t xml:space="preserve"> </w:t>
      </w:r>
      <w:r w:rsidRPr="00457BED" w:rsidR="00513F3F">
        <w:t>five-year compound annual growth rate</w:t>
      </w:r>
      <w:r w:rsidR="00513F3F">
        <w:t xml:space="preserve"> of the</w:t>
      </w:r>
      <w:r w:rsidRPr="00457BED">
        <w:t xml:space="preserve"> global GDP </w:t>
      </w:r>
      <w:r w:rsidR="00513F3F">
        <w:t>was</w:t>
      </w:r>
      <w:r w:rsidRPr="00457BED">
        <w:t xml:space="preserve"> </w:t>
      </w:r>
      <w:r>
        <w:t>2.3</w:t>
      </w:r>
      <w:r w:rsidRPr="00457BED">
        <w:t>%</w:t>
      </w:r>
      <w:r w:rsidR="00513F3F">
        <w:t xml:space="preserve"> (source: </w:t>
      </w:r>
      <w:r w:rsidRPr="00513F3F" w:rsidR="00513F3F">
        <w:t>IMF estimate as of October 2020</w:t>
      </w:r>
      <w:r w:rsidR="00513F3F">
        <w:t>)</w:t>
      </w:r>
      <w:r w:rsidRPr="00457BED">
        <w:t>. Wärtsilä’s comparable operating result amounted to EUR 275 million, w</w:t>
      </w:r>
      <w:r w:rsidRPr="00457BED">
        <w:t xml:space="preserve">hich represents 6.0% of net sales. Gearing decreased to 0.18. The Board of Directors' </w:t>
      </w:r>
      <w:r w:rsidR="001A2814">
        <w:t>p</w:t>
      </w:r>
      <w:r w:rsidRPr="00457BED">
        <w:t xml:space="preserve">roposed dividend of EUR </w:t>
      </w:r>
      <w:r>
        <w:t>0.20</w:t>
      </w:r>
      <w:r w:rsidRPr="00457BED">
        <w:t xml:space="preserve"> per share represents </w:t>
      </w:r>
      <w:r>
        <w:t>88</w:t>
      </w:r>
      <w:r>
        <w:t>.2</w:t>
      </w:r>
      <w:r w:rsidRPr="00457BED">
        <w:t>% of operational earnings.</w:t>
      </w:r>
      <w:r w:rsidRPr="00A009B4" w:rsidR="001A2814">
        <w:rPr>
          <w:noProof/>
        </w:rPr>
        <mc:AlternateContent>
          <mc:Choice Requires="wps">
            <w:drawing>
              <wp:anchor distT="45720" distB="45720" distL="114300" distR="114300" simplePos="0" relativeHeight="251659264" behindDoc="0" locked="0" layoutInCell="1" allowOverlap="1">
                <wp:simplePos x="0" y="0"/>
                <wp:positionH relativeFrom="leftMargin">
                  <wp:posOffset>387985</wp:posOffset>
                </wp:positionH>
                <wp:positionV relativeFrom="bottomMargin">
                  <wp:posOffset>-1278255</wp:posOffset>
                </wp:positionV>
                <wp:extent cx="6473825" cy="1508760"/>
                <wp:effectExtent l="0" t="0" r="3175" b="0"/>
                <wp:wrapSquare wrapText="bothSides"/>
                <wp:docPr id="217" name="Text Box 217"/>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473825" cy="1508760"/>
                        </a:xfrm>
                        <a:prstGeom prst="rect">
                          <a:avLst/>
                        </a:prstGeom>
                        <a:solidFill>
                          <a:srgbClr val="FFFFFF"/>
                        </a:solidFill>
                        <a:ln w="9525">
                          <a:noFill/>
                          <a:miter lim="800000"/>
                          <a:headEnd/>
                          <a:tailEnd/>
                        </a:ln>
                      </wps:spPr>
                      <wps:txbx>
                        <w:txbxContent>
                          <w:tbl>
                            <w:tblPr>
                              <w:tblStyle w:val="TableGrid"/>
                              <w:tblW w:w="93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9302"/>
                            </w:tblGrid>
                            <w:tr>
                              <w:tblPrEx>
                                <w:tblW w:w="93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662"/>
                              </w:trPr>
                              <w:tc>
                                <w:tcPr>
                                  <w:tcW w:w="9302" w:type="dxa"/>
                                  <w:hideMark/>
                                </w:tcPr>
                                <w:p w:rsidR="00505394" w:rsidRPr="0060329B" w:rsidP="009634ED">
                                  <w:pPr>
                                    <w:pStyle w:val="Subtitle"/>
                                    <w:rPr>
                                      <w:rStyle w:val="BookTitle"/>
                                    </w:rPr>
                                  </w:pPr>
                                  <w:r w:rsidRPr="00800A23">
                                    <w:br w:type="column"/>
                                  </w:r>
                                  <w:r w:rsidRPr="009634ED">
                                    <w:rPr>
                                      <w:rStyle w:val="BookTitle"/>
                                    </w:rPr>
                                    <w:t>Target</w:t>
                                  </w:r>
                                </w:p>
                                <w:tbl>
                                  <w:tblPr>
                                    <w:tblStyle w:val="TableNormal"/>
                                    <w:tblCaption w:val="Table_Financial_targets_EN"/>
                                    <w:tblW w:w="9975" w:type="dxa"/>
                                    <w:tblLook w:val="0600"/>
                                  </w:tblPr>
                                  <w:tblGrid>
                                    <w:gridCol w:w="6105"/>
                                    <w:gridCol w:w="1935"/>
                                    <w:gridCol w:w="1935"/>
                                  </w:tblGrid>
                                  <w:tr>
                                    <w:tblPrEx>
                                      <w:tblW w:w="9975" w:type="dxa"/>
                                      <w:tblLook w:val="0600"/>
                                    </w:tblPrEx>
                                    <w:trPr>
                                      <w:trHeight w:hRule="exact" w:val="253"/>
                                    </w:trPr>
                                    <w:tc>
                                      <w:tcPr>
                                        <w:tcW w:w="6105" w:type="dxa"/>
                                        <w:tcBorders>
                                          <w:top w:val="nil"/>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5"/>
                                            <w:u w:val="none"/>
                                            <w:vertAlign w:val="baseline"/>
                                          </w:rPr>
                                        </w:pPr>
                                      </w:p>
                                    </w:tc>
                                    <w:tc>
                                      <w:tcPr>
                                        <w:tcW w:w="19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Development in 2020</w:t>
                                        </w:r>
                                      </w:p>
                                    </w:tc>
                                    <w:tc>
                                      <w:tcPr>
                                        <w:tcW w:w="19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Development in 2019</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610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Net sales growth faster than global GDP</w:t>
                                        </w:r>
                                      </w:p>
                                    </w:tc>
                                    <w:tc>
                                      <w:tcPr>
                                        <w:tcW w:w="193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-11%</w:t>
                                        </w:r>
                                      </w:p>
                                    </w:tc>
                                    <w:tc>
                                      <w:tcPr>
                                        <w:tcW w:w="193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0%</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610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Comparable operating result margin between 10% and 14%</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6.0%</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8.8%</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610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Gearing below 0.50</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0.18</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0.30</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val="253"/>
                                    </w:trPr>
                                    <w:tc>
                                      <w:tcPr>
                                        <w:tcW w:w="6105" w:type="dxa"/>
                                        <w:tcBorders>
                                          <w:top w:val="single" w:sz="4" w:space="0" w:color="004B6B"/>
                                          <w:left w:val="nil"/>
                                          <w:bottom w:val="single" w:sz="4" w:space="0" w:color="004B6B"/>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Dividend payment at least 50% of earnings per share over the cycle</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88.2%*</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130.8%</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val="253"/>
                                    </w:trPr>
                                    <w:tc>
                                      <w:tcPr>
                                        <w:tcW w:w="6105" w:type="dxa"/>
                                        <w:tcBorders>
                                          <w:top w:val="single" w:sz="4" w:space="0" w:color="004B6B"/>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*Proposal of the Board of Directors</w:t>
                                        </w:r>
                                      </w:p>
                                    </w:tc>
                                    <w:tc>
                                      <w:tcPr>
                                        <w:tcW w:w="1935" w:type="dxa"/>
                                        <w:tcBorders>
                                          <w:top w:val="single" w:sz="4" w:space="0" w:color="004B6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22"/>
                                            <w:u w:val="none"/>
                                            <w:vertAlign w:val="baseline"/>
                                          </w:rPr>
                                        </w:pPr>
                                      </w:p>
                                    </w:tc>
                                    <w:tc>
                                      <w:tcPr>
                                        <w:tcW w:w="1935" w:type="dxa"/>
                                        <w:tcBorders>
                                          <w:top w:val="single" w:sz="4" w:space="0" w:color="004B6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22"/>
                                            <w:u w:val="none"/>
                                            <w:vertAlign w:val="baseline"/>
                                          </w:rPr>
                                        </w:pPr>
                                      </w:p>
                                    </w:tc>
                                  </w:tr>
                                </w:tbl>
                                <w:p/>
                              </w:tc>
                            </w:tr>
                          </w:tbl>
                          <w:p w:rsidR="00505394" w:rsidRPr="004F6AFD" w:rsidP="00505394">
                            <w:pPr>
                              <w:rPr>
                                <w:lang w:val="en-GB"/>
                              </w:rPr>
                            </w:pP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7" o:spid="_x0000_s1025" type="#_x0000_t202" style="width:509.75pt;height:118.8pt;margin-top:-100.65pt;margin-left:30.55pt;mso-height-percent:0;mso-height-relative:margin;mso-position-horizontal-relative:left-margin-area;mso-position-vertical-relative:bottom-margin-area;mso-width-percent:0;mso-width-relative:margin;mso-wrap-distance-bottom:3.6pt;mso-wrap-distance-left:9pt;mso-wrap-distance-right:9pt;mso-wrap-distance-top:3.6pt;position:absolute;v-text-anchor:top;z-index:251658240" fillcolor="white" stroked="f" strokeweight="0.75pt">
                <v:textbox>
                  <w:txbxContent>
                    <w:tbl>
                      <w:tblPr>
                        <w:tblStyle w:val="TableGrid"/>
                        <w:tblW w:w="93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9302"/>
                      </w:tblGrid>
                      <w:tr>
                        <w:tblPrEx>
                          <w:tblW w:w="93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662"/>
                        </w:trPr>
                        <w:tc>
                          <w:tcPr>
                            <w:tcW w:w="9302" w:type="dxa"/>
                            <w:hideMark/>
                          </w:tcPr>
                          <w:p w:rsidR="00505394" w:rsidRPr="0060329B" w:rsidP="009634ED">
                            <w:pPr>
                              <w:pStyle w:val="Subtitle"/>
                              <w:rPr>
                                <w:rStyle w:val="BookTitle"/>
                              </w:rPr>
                            </w:pPr>
                            <w:r w:rsidRPr="00800A23">
                              <w:br w:type="column"/>
                            </w:r>
                            <w:r w:rsidRPr="009634ED">
                              <w:rPr>
                                <w:rStyle w:val="BookTitle"/>
                              </w:rPr>
                              <w:t>Target</w:t>
                            </w:r>
                          </w:p>
                          <w:tbl>
                            <w:tblPr>
                              <w:tblStyle w:val="TableNormal"/>
                              <w:tblCaption w:val="Table_Financial_targets_EN"/>
                              <w:tblW w:w="9975" w:type="dxa"/>
                              <w:tblLook w:val="0600"/>
                            </w:tblPr>
                            <w:tblGrid>
                              <w:gridCol w:w="6105"/>
                              <w:gridCol w:w="1935"/>
                              <w:gridCol w:w="1935"/>
                            </w:tblGrid>
                            <w:tr>
                              <w:tblPrEx>
                                <w:tblW w:w="9975" w:type="dxa"/>
                                <w:tblLook w:val="0600"/>
                              </w:tblPrEx>
                              <w:trPr>
                                <w:trHeight w:hRule="exact" w:val="253"/>
                              </w:trPr>
                              <w:tc>
                                <w:tcPr>
                                  <w:tcW w:w="6105" w:type="dxa"/>
                                  <w:tcBorders>
                                    <w:top w:val="nil"/>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5"/>
                                      <w:u w:val="none"/>
                                      <w:vertAlign w:val="baseline"/>
                                    </w:rPr>
                                  </w:pPr>
                                </w:p>
                              </w:tc>
                              <w:tc>
                                <w:tcPr>
                                  <w:tcW w:w="19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Development in 2020</w:t>
                                  </w:r>
                                </w:p>
                              </w:tc>
                              <w:tc>
                                <w:tcPr>
                                  <w:tcW w:w="19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Development in 2019</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610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Net sales growth faster than global GDP</w:t>
                                  </w:r>
                                </w:p>
                              </w:tc>
                              <w:tc>
                                <w:tcPr>
                                  <w:tcW w:w="193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-11%</w:t>
                                  </w:r>
                                </w:p>
                              </w:tc>
                              <w:tc>
                                <w:tcPr>
                                  <w:tcW w:w="193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0%</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610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Comparable operating result margin between 10% and 14%</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6.0%</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8.8%</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610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Gearing below 0.50</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0.18</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0.30</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val="253"/>
                              </w:trPr>
                              <w:tc>
                                <w:tcPr>
                                  <w:tcW w:w="6105" w:type="dxa"/>
                                  <w:tcBorders>
                                    <w:top w:val="single" w:sz="4" w:space="0" w:color="004B6B"/>
                                    <w:left w:val="nil"/>
                                    <w:bottom w:val="single" w:sz="4" w:space="0" w:color="004B6B"/>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Dividend payment at least 50% of earnings per share over the cycle</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88.2%*</w:t>
                                  </w:r>
                                </w:p>
                              </w:tc>
                              <w:tc>
                                <w:tcPr>
                                  <w:tcW w:w="193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130.8%</w:t>
                                  </w:r>
                                </w:p>
                              </w:tc>
                            </w:tr>
                            <w:tr>
                              <w:tblPrEx>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val="253"/>
                              </w:trPr>
                              <w:tc>
                                <w:tcPr>
                                  <w:tcW w:w="6105" w:type="dxa"/>
                                  <w:tcBorders>
                                    <w:top w:val="single" w:sz="4" w:space="0" w:color="004B6B"/>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*Proposal of the Board of Directors</w:t>
                                  </w:r>
                                </w:p>
                              </w:tc>
                              <w:tc>
                                <w:tcPr>
                                  <w:tcW w:w="1935" w:type="dxa"/>
                                  <w:tcBorders>
                                    <w:top w:val="single" w:sz="4" w:space="0" w:color="004B6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22"/>
                                      <w:u w:val="none"/>
                                      <w:vertAlign w:val="baseline"/>
                                    </w:rPr>
                                  </w:pPr>
                                </w:p>
                              </w:tc>
                              <w:tc>
                                <w:tcPr>
                                  <w:tcW w:w="1935" w:type="dxa"/>
                                  <w:tcBorders>
                                    <w:top w:val="single" w:sz="4" w:space="0" w:color="004B6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22"/>
                                      <w:u w:val="none"/>
                                      <w:vertAlign w:val="baseline"/>
                                    </w:rPr>
                                  </w:pPr>
                                </w:p>
                              </w:tc>
                            </w:tr>
                          </w:tbl>
                          <w:p/>
                        </w:tc>
                      </w:tr>
                    </w:tbl>
                    <w:p w:rsidR="00505394" w:rsidRPr="004F6AFD" w:rsidP="00505394">
                      <w:pPr>
                        <w:rPr>
                          <w:lang w:val="en-GB"/>
                        </w:rPr>
                      </w:pPr>
                    </w:p>
                  </w:txbxContent>
                </v:textbox>
                <w10:wrap type="square"/>
              </v:shape>
            </w:pict>
          </mc:Fallback>
        </mc:AlternateContent>
      </w:r>
    </w:p>
    <w:p w:rsidR="007368A0" w:rsidRPr="001D25F6" w:rsidP="00BE4DA7" w14:paraId="7E6ECC26" w14:textId="52780469">
      <w:pPr>
        <w:pStyle w:val="WHeading20"/>
      </w:pPr>
      <w:bookmarkStart w:id="4" w:name="RG_MARKER_3990"/>
      <w:r w:rsidRPr="001D25F6">
        <w:t xml:space="preserve">THE YEAR </w:t>
      </w:r>
      <w:bookmarkEnd w:id="4"/>
      <w:r>
        <w:t>2020</w:t>
      </w:r>
    </w:p>
    <w:p w:rsidR="00DE0553" w:rsidP="00317456">
      <w:pPr>
        <w:pStyle w:val="WHeading3"/>
      </w:pPr>
      <w:bookmarkStart w:id="5" w:name="RG_MARKER_5105"/>
      <w:r w:rsidRPr="00695351">
        <w:t>Operating environment</w:t>
      </w:r>
      <w:bookmarkEnd w:id="5"/>
    </w:p>
    <w:p w:rsidR="00871A6A" w:rsidP="00317456">
      <w:pPr>
        <w:pStyle w:val="WHeading4"/>
      </w:pPr>
      <w:r>
        <w:t>Marine</w:t>
      </w:r>
    </w:p>
    <w:p w:rsidR="00504C34" w:rsidRPr="00D969ED" w:rsidP="00317456">
      <w:pPr>
        <w:pStyle w:val="Wnormal0"/>
      </w:pPr>
      <w:r w:rsidRPr="00504C34">
        <w:t xml:space="preserve">The effects of the </w:t>
      </w:r>
      <w:r w:rsidR="00085B7E">
        <w:t>COVID</w:t>
      </w:r>
      <w:r w:rsidRPr="00504C34">
        <w:t xml:space="preserve">-19 pandemic significantly affected the demand for equipment and services in </w:t>
      </w:r>
      <w:r w:rsidR="0017686B">
        <w:t xml:space="preserve">the </w:t>
      </w:r>
      <w:r w:rsidRPr="00504C34">
        <w:t>shipping and shipbuilding markets throughout 2020. The decline in seaborne trade and travel restrictions impacted the fleet utili</w:t>
      </w:r>
      <w:r w:rsidR="007700F2">
        <w:t>s</w:t>
      </w:r>
      <w:r w:rsidRPr="00504C34">
        <w:t>ation rate, especially in the passenger sector, and limited the appetite for newbuild investments. As a result, only 815 vesse</w:t>
      </w:r>
      <w:r w:rsidRPr="00504C34">
        <w:t xml:space="preserve">ls were contracted during the year (1,153 in 2019, excluding late contracting) </w:t>
      </w:r>
      <w:r>
        <w:t>and</w:t>
      </w:r>
      <w:r w:rsidRPr="00504C34">
        <w:t xml:space="preserve"> the demand for spare parts and maintenance activities softened. The news released in November </w:t>
      </w:r>
      <w:r w:rsidR="0017686B">
        <w:t>regarding</w:t>
      </w:r>
      <w:r w:rsidRPr="00504C34" w:rsidR="0017686B">
        <w:t xml:space="preserve"> </w:t>
      </w:r>
      <w:r w:rsidR="00085B7E">
        <w:t>COVID</w:t>
      </w:r>
      <w:r w:rsidRPr="00504C34">
        <w:t xml:space="preserve">-19 vaccine results </w:t>
      </w:r>
      <w:r>
        <w:t>improved</w:t>
      </w:r>
      <w:r w:rsidRPr="00504C34">
        <w:t xml:space="preserve"> confidence</w:t>
      </w:r>
      <w:r w:rsidR="0017686B">
        <w:t xml:space="preserve"> </w:t>
      </w:r>
      <w:r>
        <w:t xml:space="preserve">in </w:t>
      </w:r>
      <w:r w:rsidR="0017686B">
        <w:t>a recovery</w:t>
      </w:r>
      <w:r w:rsidRPr="00504C34">
        <w:t xml:space="preserve"> in both ne</w:t>
      </w:r>
      <w:r w:rsidRPr="00504C34">
        <w:t>wbuild and service activit</w:t>
      </w:r>
      <w:r w:rsidR="0017686B">
        <w:t>ies</w:t>
      </w:r>
      <w:r w:rsidRPr="00504C34">
        <w:t xml:space="preserve"> across all vessel segments.</w:t>
      </w:r>
    </w:p>
    <w:p w:rsidR="00504C34" w:rsidRPr="00504C34" w:rsidP="00317456">
      <w:pPr>
        <w:pStyle w:val="Wnormal0"/>
      </w:pPr>
      <w:bookmarkStart w:id="6" w:name="_Hlk61282012"/>
      <w:r w:rsidRPr="00504C34">
        <w:t>Cruise operations were heavily affected by the travel restrictions and no-sail orders. Despite a marginal uptick in cruise activity towards the end of the year, the vast majority of the fleet remain</w:t>
      </w:r>
      <w:r w:rsidRPr="00504C34">
        <w:t>s idled. After the initial disruptions following the first virus outbreak, the ferry fleet was gradually reactivated over the summer, but was increasingly idled again in the fourth quarter as</w:t>
      </w:r>
      <w:r w:rsidR="0017686B">
        <w:t xml:space="preserve">, </w:t>
      </w:r>
      <w:r w:rsidRPr="00504C34" w:rsidR="0017686B">
        <w:t>on top of the typical seasonal unwinding</w:t>
      </w:r>
      <w:r w:rsidR="0017686B">
        <w:t>,</w:t>
      </w:r>
      <w:r w:rsidRPr="00504C34">
        <w:t xml:space="preserve"> a new wave of </w:t>
      </w:r>
      <w:r w:rsidR="00085B7E">
        <w:t>COVID</w:t>
      </w:r>
      <w:r w:rsidRPr="00504C34">
        <w:t>-1</w:t>
      </w:r>
      <w:r w:rsidRPr="00504C34">
        <w:t xml:space="preserve">9 hit the European markets. The offshore sector continued to be under severe pressure due to low oil demand. Limited exploration activity led </w:t>
      </w:r>
      <w:r w:rsidRPr="00504C34" w:rsidR="0017686B">
        <w:t xml:space="preserve">to </w:t>
      </w:r>
      <w:r w:rsidR="0017686B">
        <w:t>a</w:t>
      </w:r>
      <w:r w:rsidRPr="00504C34" w:rsidR="0017686B">
        <w:t xml:space="preserve"> decline </w:t>
      </w:r>
      <w:r w:rsidR="0017686B">
        <w:t xml:space="preserve">in </w:t>
      </w:r>
      <w:r w:rsidRPr="00504C34">
        <w:t xml:space="preserve">utilisation of drilling rigs and support vessels to levels </w:t>
      </w:r>
      <w:r w:rsidR="0017686B">
        <w:t xml:space="preserve">similar to </w:t>
      </w:r>
      <w:r w:rsidRPr="00504C34">
        <w:t xml:space="preserve">the post-2014 market cycle. </w:t>
      </w:r>
      <w:r w:rsidR="0017686B">
        <w:t>Conversely</w:t>
      </w:r>
      <w:r w:rsidRPr="00504C34">
        <w:t>, the expected growth in offshore wind projects generated demand for speciali</w:t>
      </w:r>
      <w:r w:rsidR="007700F2">
        <w:t>s</w:t>
      </w:r>
      <w:r w:rsidRPr="00504C34">
        <w:t xml:space="preserve">ed vessels, providing </w:t>
      </w:r>
      <w:r w:rsidRPr="00504C34" w:rsidR="00CC2D86">
        <w:t xml:space="preserve">newbuild and service </w:t>
      </w:r>
      <w:r w:rsidRPr="00504C34">
        <w:t xml:space="preserve">opportunities in wind farm related vessels. In the LNG shipping sector, a positive trend in spot rates </w:t>
      </w:r>
      <w:r w:rsidR="00CC2D86">
        <w:t>began</w:t>
      </w:r>
      <w:r w:rsidRPr="00504C34" w:rsidR="00CC2D86">
        <w:t xml:space="preserve"> </w:t>
      </w:r>
      <w:r w:rsidRPr="00504C34">
        <w:t>in the third qua</w:t>
      </w:r>
      <w:r w:rsidRPr="00504C34">
        <w:t>rter as a result of the rapid increase in Asian LNG demand</w:t>
      </w:r>
      <w:r w:rsidR="0017686B">
        <w:t>. This was</w:t>
      </w:r>
      <w:r w:rsidRPr="00504C34">
        <w:t xml:space="preserve"> due to seasonal factors as well as constrained supply </w:t>
      </w:r>
      <w:r w:rsidR="0017686B">
        <w:t>resulting from</w:t>
      </w:r>
      <w:r w:rsidRPr="00504C34" w:rsidR="0017686B">
        <w:t xml:space="preserve"> </w:t>
      </w:r>
      <w:r w:rsidRPr="00504C34">
        <w:t xml:space="preserve">outages at several liquefaction terminals. The containership market recovered rapidly from the initial shock posed by </w:t>
      </w:r>
      <w:r w:rsidR="00085B7E">
        <w:t>COVID</w:t>
      </w:r>
      <w:r w:rsidRPr="00504C34">
        <w:t>-19</w:t>
      </w:r>
      <w:r w:rsidR="0017686B">
        <w:t>. This recovery was</w:t>
      </w:r>
      <w:r w:rsidRPr="00504C34">
        <w:t xml:space="preserve"> supported by continuous gains in freight volumes resulting in higher freight rates and less idle capacity. Crude oil and product tanker earnings remained under significant pressure during the latter part of the year, as oil supp</w:t>
      </w:r>
      <w:r w:rsidRPr="00504C34">
        <w:t xml:space="preserve">ly cuts and </w:t>
      </w:r>
      <w:r w:rsidR="0017686B">
        <w:t xml:space="preserve">the </w:t>
      </w:r>
      <w:r w:rsidRPr="00504C34">
        <w:t>unwinding of floating storage lowered the demand for oil. Although earnings for bulk carriers increased in the second half</w:t>
      </w:r>
      <w:r w:rsidR="0017686B">
        <w:t xml:space="preserve">, thanks to a </w:t>
      </w:r>
      <w:r w:rsidRPr="00504C34">
        <w:t xml:space="preserve">higher </w:t>
      </w:r>
      <w:r w:rsidR="0017686B">
        <w:t xml:space="preserve">demand for </w:t>
      </w:r>
      <w:r w:rsidRPr="00504C34">
        <w:t>iron ore from China, the number of idled vessels continues to be above normal levels.</w:t>
      </w:r>
      <w:bookmarkEnd w:id="6"/>
      <w:r w:rsidRPr="00504C34">
        <w:t xml:space="preserve"> </w:t>
      </w:r>
      <w:r w:rsidRPr="00504C34">
        <w:t xml:space="preserve">  </w:t>
      </w:r>
    </w:p>
    <w:p w:rsidR="00504C34" w:rsidRPr="00504C34" w:rsidP="00317456">
      <w:pPr>
        <w:pStyle w:val="Wnormal0"/>
      </w:pPr>
      <w:r w:rsidRPr="00504C34">
        <w:t xml:space="preserve">The HSFO/VLSFO price differential narrowed significantly as a result of both the sharp decline in oil prices and improved VLSFO availability, </w:t>
      </w:r>
      <w:r w:rsidR="0017686B">
        <w:t xml:space="preserve">thus </w:t>
      </w:r>
      <w:r w:rsidRPr="00504C34">
        <w:t>negatively impacting the pace of scrubber retrofits and installations on newbuilds. After the positive new</w:t>
      </w:r>
      <w:r w:rsidRPr="00504C34">
        <w:t xml:space="preserve">s </w:t>
      </w:r>
      <w:r w:rsidR="0017686B">
        <w:t>regarding</w:t>
      </w:r>
      <w:r w:rsidRPr="00504C34" w:rsidR="0017686B">
        <w:t xml:space="preserve"> </w:t>
      </w:r>
      <w:r w:rsidR="00085B7E">
        <w:t>COVID</w:t>
      </w:r>
      <w:r w:rsidRPr="00504C34">
        <w:t xml:space="preserve">-19 vaccine </w:t>
      </w:r>
      <w:r w:rsidR="0017686B">
        <w:t xml:space="preserve">breakthroughs </w:t>
      </w:r>
      <w:r w:rsidRPr="00504C34">
        <w:t>in November, oil prices surged and, consequently, the price spread between bunker fuel types increased to around 80 USD per tonne. Nevertheless, the market for scrubber contracting is still characteri</w:t>
      </w:r>
      <w:r w:rsidR="007700F2">
        <w:t>s</w:t>
      </w:r>
      <w:r w:rsidRPr="00504C34">
        <w:t>ed by a high</w:t>
      </w:r>
      <w:r w:rsidRPr="00504C34">
        <w:t xml:space="preserve"> degree of uncertainty</w:t>
      </w:r>
      <w:r w:rsidR="0017686B">
        <w:t>,</w:t>
      </w:r>
      <w:r w:rsidRPr="00504C34">
        <w:t xml:space="preserve"> mostly due to the limited visibility on future price spreads.  </w:t>
      </w:r>
    </w:p>
    <w:p w:rsidR="00504C34" w:rsidRPr="00504C34" w:rsidP="00317456">
      <w:pPr>
        <w:pStyle w:val="Wnormal0"/>
      </w:pPr>
      <w:r w:rsidRPr="00504C34">
        <w:t xml:space="preserve">While the pandemic has led to a significant contraction in trade volumes, it has also </w:t>
      </w:r>
      <w:r w:rsidR="0017686B">
        <w:t xml:space="preserve">accelerated </w:t>
      </w:r>
      <w:r w:rsidRPr="00504C34">
        <w:t xml:space="preserve">the digital transformation through new technologies and digital applications being adopted as a matter of necessity. The use of cloud-based remote solutions has </w:t>
      </w:r>
      <w:r w:rsidR="0017686B">
        <w:t xml:space="preserve">also </w:t>
      </w:r>
      <w:r w:rsidRPr="00504C34">
        <w:t xml:space="preserve">accelerated in response to restrictions </w:t>
      </w:r>
      <w:r w:rsidR="0017686B">
        <w:t>on</w:t>
      </w:r>
      <w:r w:rsidRPr="00504C34" w:rsidR="0017686B">
        <w:t xml:space="preserve"> </w:t>
      </w:r>
      <w:r w:rsidRPr="00504C34">
        <w:t>physical travel. Ship-to-port communications, a</w:t>
      </w:r>
      <w:r w:rsidRPr="00504C34">
        <w:t>s well as document and data exchange</w:t>
      </w:r>
      <w:r w:rsidR="0017686B">
        <w:t>,</w:t>
      </w:r>
      <w:r w:rsidRPr="00504C34">
        <w:t xml:space="preserve"> are increasingly being handled electronically rather than via personal interaction, both on ships and in port. Furthermore, fleet optimisation and performance management technologies are increasingly being accepted as </w:t>
      </w:r>
      <w:r w:rsidRPr="00504C34">
        <w:t xml:space="preserve">central </w:t>
      </w:r>
      <w:r>
        <w:t>in order to secure profitability in a competitive market.</w:t>
      </w:r>
    </w:p>
    <w:p w:rsidR="00504C34" w:rsidRPr="00504C34" w:rsidP="00317456">
      <w:pPr>
        <w:pStyle w:val="Wnormal0"/>
      </w:pPr>
      <w:r w:rsidRPr="00504C34">
        <w:t xml:space="preserve">Meanwhile, the path towards the decarbonisation of the shipping industry continued to </w:t>
      </w:r>
      <w:r w:rsidR="0017686B">
        <w:t>gain pace</w:t>
      </w:r>
      <w:r w:rsidRPr="00504C34">
        <w:t xml:space="preserve">. The share of alternative-fuel capable vessels among the total newbuild contracting increased </w:t>
      </w:r>
      <w:r w:rsidRPr="00504C34">
        <w:t>during the year</w:t>
      </w:r>
      <w:bookmarkStart w:id="7" w:name="_Hlk61523589"/>
      <w:r w:rsidRPr="00504C34">
        <w:t xml:space="preserve">. </w:t>
      </w:r>
      <w:r w:rsidRPr="00D15063">
        <w:t xml:space="preserve">LNG has cemented its position as the most widely adopted alternative fuel, </w:t>
      </w:r>
      <w:bookmarkStart w:id="8" w:name="_Hlk61529057"/>
      <w:r w:rsidRPr="00D15063">
        <w:t xml:space="preserve">as it </w:t>
      </w:r>
      <w:r w:rsidRPr="00D15063">
        <w:t>enables immediate GHG emission reductions. Moreover, the dual-fuel engine technology used to burn LNG is fuel flexible, thus mitigating business risks associ</w:t>
      </w:r>
      <w:r w:rsidRPr="00D15063">
        <w:t>ated with future fuel related uncertainties</w:t>
      </w:r>
      <w:bookmarkEnd w:id="8"/>
      <w:bookmarkEnd w:id="7"/>
      <w:bookmarkStart w:id="9" w:name="_Hlk61523493"/>
      <w:r>
        <w:t>.</w:t>
      </w:r>
      <w:r w:rsidRPr="00504C34">
        <w:t xml:space="preserve"> </w:t>
      </w:r>
      <w:r>
        <w:t>Z</w:t>
      </w:r>
      <w:r w:rsidRPr="00504C34">
        <w:t>ero-carbon fuels</w:t>
      </w:r>
      <w:r>
        <w:t>,</w:t>
      </w:r>
      <w:r w:rsidRPr="00504C34">
        <w:t xml:space="preserve"> such as </w:t>
      </w:r>
      <w:r>
        <w:t xml:space="preserve">biofuels, </w:t>
      </w:r>
      <w:r w:rsidRPr="00504C34">
        <w:t>ammonia and hydrogen</w:t>
      </w:r>
      <w:r>
        <w:t>,</w:t>
      </w:r>
      <w:r w:rsidRPr="00504C34">
        <w:t xml:space="preserve"> are </w:t>
      </w:r>
      <w:r>
        <w:t xml:space="preserve">also </w:t>
      </w:r>
      <w:r w:rsidRPr="00504C34">
        <w:t xml:space="preserve">gaining interest as are various energy saving technologies. </w:t>
      </w:r>
      <w:bookmarkEnd w:id="9"/>
      <w:r>
        <w:t xml:space="preserve">The </w:t>
      </w:r>
      <w:r w:rsidRPr="00504C34">
        <w:t xml:space="preserve">IMO released a plan in November to drive the shipping industry towards its </w:t>
      </w:r>
      <w:r>
        <w:t>ambi</w:t>
      </w:r>
      <w:r>
        <w:t xml:space="preserve">tious </w:t>
      </w:r>
      <w:r w:rsidRPr="00504C34">
        <w:t xml:space="preserve">decarbonisation targets, with a set of policies </w:t>
      </w:r>
      <w:r>
        <w:t xml:space="preserve">coming </w:t>
      </w:r>
      <w:r w:rsidRPr="00504C34">
        <w:t xml:space="preserve">into force from 2022 onwards. At the same time, the European Parliament approved a proposal to include shipping in its emissions trading scheme (ETS). With new rules expected in the coming years </w:t>
      </w:r>
      <w:r>
        <w:t xml:space="preserve">that will </w:t>
      </w:r>
      <w:r w:rsidRPr="00504C34">
        <w:t xml:space="preserve">require shipowners to reduce their emissions through technical or operational measures, there is </w:t>
      </w:r>
      <w:r>
        <w:t xml:space="preserve">a </w:t>
      </w:r>
      <w:r w:rsidRPr="00504C34">
        <w:t>growing consensus that vessels should increasingly adopt interoperable network technology to link onboard machinery, navigation, cargo handling</w:t>
      </w:r>
      <w:r>
        <w:t>,</w:t>
      </w:r>
      <w:r w:rsidRPr="00504C34">
        <w:t xml:space="preserve"> an</w:t>
      </w:r>
      <w:r w:rsidRPr="00504C34">
        <w:t>d other systems</w:t>
      </w:r>
      <w:r>
        <w:t>.</w:t>
      </w:r>
      <w:r w:rsidRPr="00504C34">
        <w:t xml:space="preserve"> </w:t>
      </w:r>
      <w:r>
        <w:t>Such technology will</w:t>
      </w:r>
      <w:r w:rsidRPr="00504C34">
        <w:t xml:space="preserve"> reduce fuel consumption</w:t>
      </w:r>
      <w:r>
        <w:t>, while representing</w:t>
      </w:r>
      <w:r w:rsidRPr="00504C34">
        <w:t xml:space="preserve"> an important step towards decarbonisation and increased efficiency.</w:t>
      </w:r>
    </w:p>
    <w:p w:rsidR="00871A6A" w:rsidP="00317456">
      <w:pPr>
        <w:pStyle w:val="WHeading4"/>
      </w:pPr>
      <w:r>
        <w:t>Energy</w:t>
      </w:r>
    </w:p>
    <w:p w:rsidR="001F38D8" w:rsidRPr="001F38D8" w:rsidP="00317456">
      <w:pPr>
        <w:pStyle w:val="Wnormal0"/>
      </w:pPr>
      <w:r w:rsidRPr="001F38D8">
        <w:t xml:space="preserve">The </w:t>
      </w:r>
      <w:r w:rsidR="00085B7E">
        <w:t>COVID</w:t>
      </w:r>
      <w:r w:rsidRPr="001F38D8">
        <w:t xml:space="preserve">-19 pandemic and the resulting slowdown of economic activity </w:t>
      </w:r>
      <w:r>
        <w:t xml:space="preserve">had a negative impact on </w:t>
      </w:r>
      <w:r w:rsidRPr="001F38D8">
        <w:t xml:space="preserve">the </w:t>
      </w:r>
      <w:r w:rsidRPr="001F38D8">
        <w:t>global liquid and gas fuelled power plant markets throughout 2020. While the market situation has stabilised and is showing some improvement, the prevailing uncertainty regarding the duration, development</w:t>
      </w:r>
      <w:r>
        <w:t>,</w:t>
      </w:r>
      <w:r w:rsidRPr="001F38D8">
        <w:t xml:space="preserve"> and economic impacts of the pandemic continues to </w:t>
      </w:r>
      <w:r>
        <w:t>result in</w:t>
      </w:r>
      <w:r w:rsidRPr="001F38D8">
        <w:t xml:space="preserve"> customers postpon</w:t>
      </w:r>
      <w:r>
        <w:t>ing</w:t>
      </w:r>
      <w:r w:rsidRPr="001F38D8">
        <w:t xml:space="preserve"> investments in new power plant capacity. Additionally, energy policies are being developed to drive ambitious decarboni</w:t>
      </w:r>
      <w:r w:rsidR="007700F2">
        <w:t>s</w:t>
      </w:r>
      <w:r w:rsidRPr="001F38D8">
        <w:t>ation targets</w:t>
      </w:r>
      <w:r>
        <w:t>,</w:t>
      </w:r>
      <w:r w:rsidRPr="001F38D8">
        <w:t xml:space="preserve"> and utilities continue to update their investment strategies, which is causing uncertainty</w:t>
      </w:r>
      <w:r w:rsidRPr="001F38D8">
        <w:t xml:space="preserve"> and delays in decision</w:t>
      </w:r>
      <w:r>
        <w:t>-</w:t>
      </w:r>
      <w:r w:rsidRPr="001F38D8">
        <w:t xml:space="preserve">making. </w:t>
      </w:r>
      <w:r>
        <w:t>However, a</w:t>
      </w:r>
      <w:r w:rsidRPr="001F38D8">
        <w:t xml:space="preserve">ctivity in energy storage was at </w:t>
      </w:r>
      <w:r>
        <w:t xml:space="preserve">a </w:t>
      </w:r>
      <w:r w:rsidRPr="001F38D8">
        <w:t>good level, driven by the increasing need for short-term flexible capacity in power systems with a high share of renewables. While mobility restrictions affected the ability to pe</w:t>
      </w:r>
      <w:r w:rsidRPr="001F38D8">
        <w:t>rform service activities, the demand for services held up reasonably well</w:t>
      </w:r>
      <w:r>
        <w:t>,</w:t>
      </w:r>
      <w:r w:rsidRPr="001F38D8">
        <w:t xml:space="preserve"> and customers continued to show interest in long-term service agreements. </w:t>
      </w:r>
    </w:p>
    <w:p w:rsidR="00871A6A" w:rsidRPr="007161EE" w:rsidP="00317456">
      <w:pPr>
        <w:pStyle w:val="Wnormal0"/>
      </w:pPr>
      <w:r w:rsidRPr="001F38D8">
        <w:t>Wärtsilä’s market share in the up to 500 MW market segment was stable at 9% (9), while global orders for n</w:t>
      </w:r>
      <w:r w:rsidRPr="001F38D8">
        <w:t>atural gas and liquid power plants increased by 3% to 16.6 GW during the twelve-month period ending in September 2020 (16.0 GW at the end of June). Global orders include gas turbine and Wärtsilä orders with prime movers over 5 MW in size. The data is gathe</w:t>
      </w:r>
      <w:r w:rsidRPr="001F38D8">
        <w:t>red from the McCoy Power Report.</w:t>
      </w:r>
    </w:p>
    <w:p w:rsidR="00A526E2" w:rsidRPr="00A526E2" w:rsidP="008E5C34" w14:paraId="7672B04E" w14:textId="77777777">
      <w:pPr>
        <w:pStyle w:val="WHeading3"/>
      </w:pPr>
      <w:bookmarkStart w:id="10" w:name="RG_MARKER_4939"/>
      <w:r>
        <w:t>Order intake and order book</w:t>
      </w:r>
      <w:bookmarkEnd w:id="10"/>
    </w:p>
    <w:p w:rsidR="00B425AF" w:rsidRPr="00B425AF" w:rsidP="00B425AF" w14:paraId="28E288B6" w14:textId="77777777">
      <w:pPr>
        <w:pStyle w:val="Wnormal0"/>
        <w:rPr>
          <w:lang w:val="en-GB"/>
        </w:rPr>
      </w:pPr>
      <w:r>
        <w:rPr>
          <w:lang w:val="en-GB"/>
        </w:rPr>
        <w:t>Wärtsilä’s o</w:t>
      </w:r>
      <w:r w:rsidRPr="00B425AF">
        <w:rPr>
          <w:lang w:val="en-GB"/>
        </w:rPr>
        <w:t xml:space="preserve">rder intake in </w:t>
      </w:r>
      <w:r w:rsidRPr="00900AD3">
        <w:rPr>
          <w:lang w:val="en-GB"/>
        </w:rPr>
        <w:t>2020</w:t>
      </w:r>
      <w:r>
        <w:rPr>
          <w:lang w:val="en-GB"/>
        </w:rPr>
        <w:t xml:space="preserve"> </w:t>
      </w:r>
      <w:r w:rsidRPr="00B425AF">
        <w:rPr>
          <w:lang w:val="en-GB"/>
        </w:rPr>
        <w:t>decreased by 18% to</w:t>
      </w:r>
      <w:r w:rsidRPr="00B425AF">
        <w:rPr>
          <w:lang w:val="en-GB"/>
        </w:rPr>
        <w:t xml:space="preserve"> EUR </w:t>
      </w:r>
      <w:r w:rsidRPr="00B425AF">
        <w:rPr>
          <w:lang w:val="en-GB"/>
        </w:rPr>
        <w:t>4,359</w:t>
      </w:r>
      <w:r w:rsidRPr="00B425AF">
        <w:rPr>
          <w:lang w:val="en-GB"/>
        </w:rPr>
        <w:t xml:space="preserve"> million (</w:t>
      </w:r>
      <w:r w:rsidRPr="00B425AF">
        <w:rPr>
          <w:lang w:val="en-GB"/>
        </w:rPr>
        <w:t>5,327</w:t>
      </w:r>
      <w:r w:rsidRPr="00B425AF">
        <w:rPr>
          <w:lang w:val="en-GB"/>
        </w:rPr>
        <w:t>) compared to</w:t>
      </w:r>
      <w:r>
        <w:rPr>
          <w:lang w:val="en-GB"/>
        </w:rPr>
        <w:t xml:space="preserve"> </w:t>
      </w:r>
      <w:r w:rsidR="008E2EDF">
        <w:rPr>
          <w:lang w:val="en-GB"/>
        </w:rPr>
        <w:t>the previous year</w:t>
      </w:r>
      <w:r w:rsidRPr="00D22E9C">
        <w:rPr>
          <w:color w:val="auto"/>
          <w:lang w:val="en-GB"/>
        </w:rPr>
        <w:t xml:space="preserve">. </w:t>
      </w:r>
      <w:r w:rsidRPr="00D22E9C">
        <w:rPr>
          <w:color w:val="auto"/>
          <w:lang w:val="en-GB"/>
        </w:rPr>
        <w:t xml:space="preserve">Uncertainty related to the COVID-19 pandemic and its long-term implications weakened demand across all businesses. </w:t>
      </w:r>
      <w:r w:rsidRPr="00B425AF">
        <w:rPr>
          <w:lang w:val="en-GB"/>
        </w:rPr>
        <w:t xml:space="preserve">Book-to-bill was </w:t>
      </w:r>
      <w:r w:rsidRPr="00B425AF">
        <w:rPr>
          <w:lang w:val="en-GB"/>
        </w:rPr>
        <w:t>0.95</w:t>
      </w:r>
      <w:r w:rsidRPr="00B425AF">
        <w:rPr>
          <w:lang w:val="en-GB"/>
        </w:rPr>
        <w:t xml:space="preserve"> (</w:t>
      </w:r>
      <w:r w:rsidRPr="00B425AF">
        <w:rPr>
          <w:lang w:val="en-GB"/>
        </w:rPr>
        <w:t>1.03</w:t>
      </w:r>
      <w:r w:rsidRPr="00B425AF">
        <w:rPr>
          <w:lang w:val="en-GB"/>
        </w:rPr>
        <w:t xml:space="preserve">). Service order intake </w:t>
      </w:r>
      <w:r w:rsidRPr="00B425AF">
        <w:rPr>
          <w:lang w:val="en-GB"/>
        </w:rPr>
        <w:t>decreased by 16% to</w:t>
      </w:r>
      <w:r w:rsidRPr="00B425AF">
        <w:rPr>
          <w:lang w:val="en-GB"/>
        </w:rPr>
        <w:t xml:space="preserve"> EUR </w:t>
      </w:r>
      <w:r w:rsidRPr="00B425AF">
        <w:rPr>
          <w:lang w:val="en-GB"/>
        </w:rPr>
        <w:t>2,267</w:t>
      </w:r>
      <w:r w:rsidRPr="00B425AF">
        <w:rPr>
          <w:lang w:val="en-GB"/>
        </w:rPr>
        <w:t xml:space="preserve"> million (</w:t>
      </w:r>
      <w:r w:rsidRPr="00B425AF">
        <w:rPr>
          <w:lang w:val="en-GB"/>
        </w:rPr>
        <w:t>2,683</w:t>
      </w:r>
      <w:r w:rsidRPr="00B425AF">
        <w:rPr>
          <w:lang w:val="en-GB"/>
        </w:rPr>
        <w:t xml:space="preserve">), while equipment </w:t>
      </w:r>
      <w:r w:rsidRPr="00B425AF">
        <w:rPr>
          <w:lang w:val="en-GB"/>
        </w:rPr>
        <w:t>order</w:t>
      </w:r>
      <w:r w:rsidRPr="00B425AF">
        <w:rPr>
          <w:lang w:val="en-GB"/>
        </w:rPr>
        <w:t xml:space="preserve"> intake </w:t>
      </w:r>
      <w:r w:rsidRPr="00B425AF">
        <w:rPr>
          <w:lang w:val="en-GB"/>
        </w:rPr>
        <w:t>decreased by 21% to</w:t>
      </w:r>
      <w:r w:rsidRPr="00B425AF">
        <w:rPr>
          <w:lang w:val="en-GB"/>
        </w:rPr>
        <w:t xml:space="preserve"> EUR </w:t>
      </w:r>
      <w:r w:rsidRPr="00B425AF">
        <w:rPr>
          <w:lang w:val="en-GB"/>
        </w:rPr>
        <w:t>2,091</w:t>
      </w:r>
      <w:r w:rsidRPr="00B425AF">
        <w:rPr>
          <w:lang w:val="en-GB"/>
        </w:rPr>
        <w:t xml:space="preserve"> million (</w:t>
      </w:r>
      <w:r w:rsidRPr="00B425AF">
        <w:rPr>
          <w:lang w:val="en-GB"/>
        </w:rPr>
        <w:t>2,644</w:t>
      </w:r>
      <w:r w:rsidRPr="00B425AF">
        <w:rPr>
          <w:lang w:val="en-GB"/>
        </w:rPr>
        <w:t>).</w:t>
      </w:r>
    </w:p>
    <w:p w:rsidR="005C5755" w:rsidRPr="00A526E2" w:rsidP="00B425AF" w14:paraId="15A38902" w14:textId="77777777">
      <w:pPr>
        <w:pStyle w:val="Wnormal0"/>
        <w:rPr>
          <w:lang w:val="en-GB"/>
        </w:rPr>
      </w:pPr>
      <w:r w:rsidRPr="00B425AF">
        <w:rPr>
          <w:lang w:val="en-GB"/>
        </w:rPr>
        <w:t xml:space="preserve">The order book at the end of the </w:t>
      </w:r>
      <w:r w:rsidR="008E2EDF">
        <w:rPr>
          <w:lang w:val="en-GB"/>
        </w:rPr>
        <w:t>year</w:t>
      </w:r>
      <w:r w:rsidRPr="00B425AF">
        <w:rPr>
          <w:lang w:val="en-GB"/>
        </w:rPr>
        <w:t xml:space="preserve"> </w:t>
      </w:r>
      <w:r w:rsidRPr="00B425AF">
        <w:rPr>
          <w:lang w:val="en-GB"/>
        </w:rPr>
        <w:t>decreased by 14% to</w:t>
      </w:r>
      <w:r w:rsidRPr="00B425AF">
        <w:rPr>
          <w:lang w:val="en-GB"/>
        </w:rPr>
        <w:t xml:space="preserve"> EUR </w:t>
      </w:r>
      <w:r w:rsidRPr="00B425AF">
        <w:rPr>
          <w:lang w:val="en-GB"/>
        </w:rPr>
        <w:t>5,057</w:t>
      </w:r>
      <w:r w:rsidRPr="00B425AF">
        <w:rPr>
          <w:lang w:val="en-GB"/>
        </w:rPr>
        <w:t xml:space="preserve"> million (</w:t>
      </w:r>
      <w:r w:rsidRPr="00B425AF">
        <w:rPr>
          <w:lang w:val="en-GB"/>
        </w:rPr>
        <w:t>5,878</w:t>
      </w:r>
      <w:r w:rsidRPr="00B425AF">
        <w:rPr>
          <w:lang w:val="en-GB"/>
        </w:rPr>
        <w:t xml:space="preserve">). Cancellations during the </w:t>
      </w:r>
      <w:r>
        <w:rPr>
          <w:lang w:val="en-GB"/>
        </w:rPr>
        <w:t>year</w:t>
      </w:r>
      <w:r w:rsidRPr="00B425AF">
        <w:rPr>
          <w:lang w:val="en-GB"/>
        </w:rPr>
        <w:t xml:space="preserve"> were largely in line with normal low levels. Wärtsilä has implemented stricter requirements for the inclusion of new and exis</w:t>
      </w:r>
      <w:r w:rsidRPr="00B425AF">
        <w:rPr>
          <w:lang w:val="en-GB"/>
        </w:rPr>
        <w:t xml:space="preserve">ting projects in the order book. This resulted in orders amounting to approximately </w:t>
      </w:r>
      <w:r w:rsidRPr="00917946">
        <w:rPr>
          <w:lang w:val="en-GB"/>
        </w:rPr>
        <w:t>EUR 340 million</w:t>
      </w:r>
      <w:r w:rsidRPr="00B425AF">
        <w:rPr>
          <w:lang w:val="en-GB"/>
        </w:rPr>
        <w:t xml:space="preserve"> being removed from the order book </w:t>
      </w:r>
      <w:r w:rsidR="008E2EDF">
        <w:rPr>
          <w:lang w:val="en-GB"/>
        </w:rPr>
        <w:t xml:space="preserve">during </w:t>
      </w:r>
      <w:r>
        <w:rPr>
          <w:lang w:val="en-GB"/>
        </w:rPr>
        <w:t>the year</w:t>
      </w:r>
      <w:r w:rsidRPr="00B425AF">
        <w:rPr>
          <w:lang w:val="en-GB"/>
        </w:rPr>
        <w:t>, primarily due to lack of progress or milestone payments not being received, as well as some cancellations</w:t>
      </w:r>
      <w:r w:rsidRPr="00B425AF">
        <w:rPr>
          <w:lang w:val="en-GB"/>
        </w:rPr>
        <w:t xml:space="preserve">. Wärtsilä’s current order book for 2021 deliveries is EUR </w:t>
      </w:r>
      <w:r>
        <w:rPr>
          <w:lang w:val="en-GB"/>
        </w:rPr>
        <w:t>3,298</w:t>
      </w:r>
      <w:r w:rsidRPr="00B425AF">
        <w:rPr>
          <w:lang w:val="en-GB"/>
        </w:rPr>
        <w:t xml:space="preserve"> million (</w:t>
      </w:r>
      <w:r w:rsidRPr="00D22E9C">
        <w:rPr>
          <w:lang w:val="en-GB"/>
        </w:rPr>
        <w:t>3,571</w:t>
      </w:r>
      <w:r w:rsidRPr="00B425AF">
        <w:rPr>
          <w:lang w:val="en-GB"/>
        </w:rPr>
        <w:t>).</w:t>
      </w:r>
    </w:p>
    <w:p w:rsidR="006B20E3" w:rsidRPr="006B20E3" w:rsidP="006B20E3" w14:paraId="78219068" w14:textId="77777777">
      <w:pPr>
        <w:pStyle w:val="Wnormal0"/>
        <w:rPr>
          <w:lang w:val="en-GB"/>
        </w:rPr>
      </w:pPr>
      <w:bookmarkStart w:id="11" w:name="RG_MARKER_4011"/>
      <w:r w:rsidRPr="00A52DF3">
        <w:rPr>
          <w:rStyle w:val="Heading3Char"/>
        </w:rPr>
        <w:t>Net sales and operating result</w:t>
      </w:r>
      <w:bookmarkEnd w:id="11"/>
      <w:r w:rsidRPr="00A52DF3">
        <w:rPr>
          <w:rStyle w:val="Heading3Char"/>
        </w:rPr>
        <w:cr/>
      </w:r>
      <w:r w:rsidRPr="006B20E3">
        <w:rPr>
          <w:rStyle w:val="Heading3Char"/>
          <w:b w:val="0"/>
          <w:bCs w:val="0"/>
        </w:rPr>
        <w:t>Wärtsilä’s</w:t>
      </w:r>
      <w:r>
        <w:rPr>
          <w:rStyle w:val="Heading3Char"/>
        </w:rPr>
        <w:t xml:space="preserve"> </w:t>
      </w:r>
      <w:r>
        <w:rPr>
          <w:lang w:val="en-GB"/>
        </w:rPr>
        <w:t>n</w:t>
      </w:r>
      <w:r w:rsidRPr="006B20E3">
        <w:rPr>
          <w:lang w:val="en-GB"/>
        </w:rPr>
        <w:t xml:space="preserve">et sales in </w:t>
      </w:r>
      <w:r>
        <w:rPr>
          <w:lang w:val="en-GB"/>
        </w:rPr>
        <w:t>2020</w:t>
      </w:r>
      <w:r>
        <w:rPr>
          <w:lang w:val="en-GB"/>
        </w:rPr>
        <w:t xml:space="preserve"> </w:t>
      </w:r>
      <w:r w:rsidRPr="006B20E3">
        <w:rPr>
          <w:lang w:val="en-GB"/>
        </w:rPr>
        <w:t>decreased by 11% to</w:t>
      </w:r>
      <w:r w:rsidRPr="006B20E3">
        <w:rPr>
          <w:lang w:val="en-GB"/>
        </w:rPr>
        <w:t xml:space="preserve"> EUR </w:t>
      </w:r>
      <w:r w:rsidRPr="006B20E3">
        <w:rPr>
          <w:lang w:val="en-GB"/>
        </w:rPr>
        <w:t>4,604</w:t>
      </w:r>
      <w:r w:rsidRPr="006B20E3">
        <w:rPr>
          <w:lang w:val="en-GB"/>
        </w:rPr>
        <w:t xml:space="preserve"> million (</w:t>
      </w:r>
      <w:r w:rsidRPr="006B20E3">
        <w:rPr>
          <w:lang w:val="en-GB"/>
        </w:rPr>
        <w:t>5,170</w:t>
      </w:r>
      <w:r w:rsidRPr="006B20E3">
        <w:rPr>
          <w:lang w:val="en-GB"/>
        </w:rPr>
        <w:t xml:space="preserve">) compared to the previous year. Service net sales </w:t>
      </w:r>
      <w:r w:rsidRPr="006B20E3">
        <w:rPr>
          <w:lang w:val="en-GB"/>
        </w:rPr>
        <w:t>decreased by 10% to</w:t>
      </w:r>
      <w:r w:rsidRPr="006B20E3">
        <w:rPr>
          <w:lang w:val="en-GB"/>
        </w:rPr>
        <w:t xml:space="preserve"> EUR </w:t>
      </w:r>
      <w:r w:rsidRPr="006B20E3">
        <w:rPr>
          <w:lang w:val="en-GB"/>
        </w:rPr>
        <w:t>2,255</w:t>
      </w:r>
      <w:r w:rsidRPr="006B20E3">
        <w:rPr>
          <w:lang w:val="en-GB"/>
        </w:rPr>
        <w:t xml:space="preserve"> million (</w:t>
      </w:r>
      <w:r w:rsidRPr="006B20E3">
        <w:rPr>
          <w:lang w:val="en-GB"/>
        </w:rPr>
        <w:t>2,505</w:t>
      </w:r>
      <w:r w:rsidRPr="006B20E3">
        <w:rPr>
          <w:lang w:val="en-GB"/>
        </w:rPr>
        <w:t xml:space="preserve">). Equipment net sales </w:t>
      </w:r>
      <w:r w:rsidRPr="006B20E3">
        <w:rPr>
          <w:lang w:val="en-GB"/>
        </w:rPr>
        <w:t>decreased by 12% to</w:t>
      </w:r>
      <w:r w:rsidRPr="006B20E3">
        <w:rPr>
          <w:lang w:val="en-GB"/>
        </w:rPr>
        <w:t xml:space="preserve"> EUR </w:t>
      </w:r>
      <w:r w:rsidRPr="006B20E3">
        <w:rPr>
          <w:lang w:val="en-GB"/>
        </w:rPr>
        <w:t>2,349</w:t>
      </w:r>
      <w:r w:rsidRPr="006B20E3">
        <w:rPr>
          <w:lang w:val="en-GB"/>
        </w:rPr>
        <w:t xml:space="preserve"> million (</w:t>
      </w:r>
      <w:r w:rsidRPr="006B20E3">
        <w:rPr>
          <w:lang w:val="en-GB"/>
        </w:rPr>
        <w:t>2,665</w:t>
      </w:r>
      <w:r w:rsidRPr="006B20E3">
        <w:rPr>
          <w:lang w:val="en-GB"/>
        </w:rPr>
        <w:t xml:space="preserve">). Of Wärtsilä’s net sales, approximately </w:t>
      </w:r>
      <w:r w:rsidRPr="006B20E3">
        <w:rPr>
          <w:lang w:val="en-GB"/>
        </w:rPr>
        <w:t>65</w:t>
      </w:r>
      <w:r w:rsidRPr="006B20E3">
        <w:rPr>
          <w:lang w:val="en-GB"/>
        </w:rPr>
        <w:t>% was</w:t>
      </w:r>
      <w:r w:rsidRPr="006B20E3">
        <w:rPr>
          <w:lang w:val="en-GB"/>
        </w:rPr>
        <w:t xml:space="preserve"> EUR denominated and </w:t>
      </w:r>
      <w:r w:rsidRPr="006B20E3">
        <w:rPr>
          <w:lang w:val="en-GB"/>
        </w:rPr>
        <w:t>20</w:t>
      </w:r>
      <w:r w:rsidRPr="006B20E3">
        <w:rPr>
          <w:lang w:val="en-GB"/>
        </w:rPr>
        <w:t>% USD denominated, with the remainder being split between several currencies.</w:t>
      </w:r>
    </w:p>
    <w:p w:rsidR="006B20E3" w:rsidRPr="006B20E3" w:rsidP="006B20E3" w14:paraId="3AADDD71" w14:textId="77777777">
      <w:pPr>
        <w:pStyle w:val="Wnormal0"/>
        <w:rPr>
          <w:lang w:val="en-GB"/>
        </w:rPr>
      </w:pPr>
      <w:r w:rsidRPr="006B20E3">
        <w:rPr>
          <w:lang w:val="en-GB"/>
        </w:rPr>
        <w:t xml:space="preserve">The operating result amounted to EUR </w:t>
      </w:r>
      <w:r w:rsidRPr="006B20E3">
        <w:rPr>
          <w:lang w:val="en-GB"/>
        </w:rPr>
        <w:t>234</w:t>
      </w:r>
      <w:r w:rsidRPr="006B20E3">
        <w:rPr>
          <w:lang w:val="en-GB"/>
        </w:rPr>
        <w:t xml:space="preserve"> million (</w:t>
      </w:r>
      <w:r w:rsidRPr="006B20E3">
        <w:rPr>
          <w:lang w:val="en-GB"/>
        </w:rPr>
        <w:t>362</w:t>
      </w:r>
      <w:r w:rsidRPr="006B20E3">
        <w:rPr>
          <w:lang w:val="en-GB"/>
        </w:rPr>
        <w:t xml:space="preserve">) or </w:t>
      </w:r>
      <w:r w:rsidRPr="006B20E3">
        <w:rPr>
          <w:lang w:val="en-GB"/>
        </w:rPr>
        <w:t>5.1</w:t>
      </w:r>
      <w:r w:rsidRPr="006B20E3">
        <w:rPr>
          <w:lang w:val="en-GB"/>
        </w:rPr>
        <w:t>% of net sales (</w:t>
      </w:r>
      <w:r w:rsidRPr="006B20E3">
        <w:rPr>
          <w:lang w:val="en-GB"/>
        </w:rPr>
        <w:t>7.0</w:t>
      </w:r>
      <w:r w:rsidRPr="006B20E3">
        <w:rPr>
          <w:lang w:val="en-GB"/>
        </w:rPr>
        <w:t xml:space="preserve">). </w:t>
      </w:r>
      <w:r w:rsidRPr="00966827">
        <w:rPr>
          <w:color w:val="auto"/>
          <w:lang w:val="en-GB"/>
        </w:rPr>
        <w:t xml:space="preserve">The result was burdened by a decline in service volumes, COVID-19 driven cost inflation, and weaker fixed cost absorption. </w:t>
      </w:r>
      <w:r w:rsidRPr="006B20E3">
        <w:rPr>
          <w:lang w:val="en-GB"/>
        </w:rPr>
        <w:t xml:space="preserve">The comparable operating result totalled EUR </w:t>
      </w:r>
      <w:r w:rsidRPr="006B20E3">
        <w:rPr>
          <w:lang w:val="en-GB"/>
        </w:rPr>
        <w:t>275</w:t>
      </w:r>
      <w:r w:rsidRPr="006B20E3">
        <w:rPr>
          <w:lang w:val="en-GB"/>
        </w:rPr>
        <w:t xml:space="preserve"> million (</w:t>
      </w:r>
      <w:r w:rsidRPr="006B20E3">
        <w:rPr>
          <w:lang w:val="en-GB"/>
        </w:rPr>
        <w:t>457</w:t>
      </w:r>
      <w:r w:rsidRPr="006B20E3">
        <w:rPr>
          <w:lang w:val="en-GB"/>
        </w:rPr>
        <w:t xml:space="preserve">) or </w:t>
      </w:r>
      <w:r w:rsidRPr="006B20E3">
        <w:rPr>
          <w:lang w:val="en-GB"/>
        </w:rPr>
        <w:t>6.0</w:t>
      </w:r>
      <w:r w:rsidRPr="006B20E3">
        <w:rPr>
          <w:lang w:val="en-GB"/>
        </w:rPr>
        <w:t>% of net sales (</w:t>
      </w:r>
      <w:r w:rsidRPr="006B20E3">
        <w:rPr>
          <w:lang w:val="en-GB"/>
        </w:rPr>
        <w:t>8.8</w:t>
      </w:r>
      <w:r w:rsidRPr="006B20E3">
        <w:rPr>
          <w:lang w:val="en-GB"/>
        </w:rPr>
        <w:t xml:space="preserve">). Items affecting comparability comprised </w:t>
      </w:r>
      <w:r w:rsidRPr="00966827">
        <w:rPr>
          <w:color w:val="auto"/>
          <w:lang w:val="en-GB"/>
        </w:rPr>
        <w:t>costs related to divestments and restructuri</w:t>
      </w:r>
      <w:r w:rsidRPr="00966827">
        <w:rPr>
          <w:color w:val="auto"/>
          <w:lang w:val="en-GB"/>
        </w:rPr>
        <w:t xml:space="preserve">ng programmes </w:t>
      </w:r>
      <w:r w:rsidRPr="006B20E3">
        <w:rPr>
          <w:lang w:val="en-GB"/>
        </w:rPr>
        <w:t xml:space="preserve">of EUR </w:t>
      </w:r>
      <w:r w:rsidRPr="006B20E3">
        <w:rPr>
          <w:lang w:val="en-GB"/>
        </w:rPr>
        <w:t>41</w:t>
      </w:r>
      <w:r w:rsidRPr="006B20E3">
        <w:rPr>
          <w:lang w:val="en-GB"/>
        </w:rPr>
        <w:t xml:space="preserve"> million (</w:t>
      </w:r>
      <w:r w:rsidRPr="006B20E3">
        <w:rPr>
          <w:lang w:val="en-GB"/>
        </w:rPr>
        <w:t>95</w:t>
      </w:r>
      <w:r w:rsidRPr="006B20E3">
        <w:rPr>
          <w:lang w:val="en-GB"/>
        </w:rPr>
        <w:t xml:space="preserve">). The comparable adjusted EBITA amounted to EUR </w:t>
      </w:r>
      <w:r w:rsidRPr="006B20E3">
        <w:rPr>
          <w:lang w:val="en-GB"/>
        </w:rPr>
        <w:t>308</w:t>
      </w:r>
      <w:r w:rsidRPr="006B20E3">
        <w:rPr>
          <w:lang w:val="en-GB"/>
        </w:rPr>
        <w:t xml:space="preserve"> million (</w:t>
      </w:r>
      <w:r w:rsidRPr="006B20E3">
        <w:rPr>
          <w:lang w:val="en-GB"/>
        </w:rPr>
        <w:t>498</w:t>
      </w:r>
      <w:r w:rsidRPr="006B20E3">
        <w:rPr>
          <w:lang w:val="en-GB"/>
        </w:rPr>
        <w:t xml:space="preserve">) or </w:t>
      </w:r>
      <w:r w:rsidRPr="006B20E3">
        <w:rPr>
          <w:lang w:val="en-GB"/>
        </w:rPr>
        <w:t>6.7</w:t>
      </w:r>
      <w:r w:rsidRPr="006B20E3">
        <w:rPr>
          <w:lang w:val="en-GB"/>
        </w:rPr>
        <w:t>% of net sales (</w:t>
      </w:r>
      <w:r w:rsidRPr="006B20E3">
        <w:rPr>
          <w:lang w:val="en-GB"/>
        </w:rPr>
        <w:t>9.6</w:t>
      </w:r>
      <w:r w:rsidRPr="006B20E3">
        <w:rPr>
          <w:lang w:val="en-GB"/>
        </w:rPr>
        <w:t xml:space="preserve">). Purchase price allocation amortisation amounted to EUR </w:t>
      </w:r>
      <w:r w:rsidRPr="006B20E3">
        <w:rPr>
          <w:lang w:val="en-GB"/>
        </w:rPr>
        <w:t>33</w:t>
      </w:r>
      <w:r w:rsidRPr="006B20E3">
        <w:rPr>
          <w:lang w:val="en-GB"/>
        </w:rPr>
        <w:t xml:space="preserve"> million (</w:t>
      </w:r>
      <w:r w:rsidRPr="006B20E3">
        <w:rPr>
          <w:lang w:val="en-GB"/>
        </w:rPr>
        <w:t>41</w:t>
      </w:r>
      <w:r w:rsidRPr="006B20E3">
        <w:rPr>
          <w:lang w:val="en-GB"/>
        </w:rPr>
        <w:t>).</w:t>
      </w:r>
    </w:p>
    <w:p w:rsidR="001933EF" w:rsidP="006B20E3" w14:paraId="3B15150A" w14:textId="77777777">
      <w:pPr>
        <w:pStyle w:val="Wnormal0"/>
        <w:rPr>
          <w:lang w:val="en-GB"/>
        </w:rPr>
        <w:sectPr w:rsidSect="00D3472C">
          <w:type w:val="continuous"/>
          <w:pgSz w:w="16838" w:h="11906" w:orient="landscape"/>
          <w:pgMar w:top="1814" w:right="737" w:bottom="1247" w:left="737" w:header="720" w:footer="720" w:gutter="0"/>
          <w:pgBorders w:zOrder="front" w:display="allPages" w:offsetFrom="text">
            <w:top w:val="nil"/>
            <w:left w:val="nil"/>
            <w:bottom w:val="nil"/>
            <w:right w:val="nil"/>
          </w:pgBorders>
          <w:cols w:num="3" w:space="510"/>
          <w:vAlign w:val="top"/>
          <w:titlePg w:val="0"/>
          <w:rtlGutter w:val="0"/>
          <w:docGrid w:linePitch="360"/>
        </w:sectPr>
      </w:pPr>
      <w:r w:rsidRPr="006B20E3">
        <w:rPr>
          <w:lang w:val="en-GB"/>
        </w:rPr>
        <w:t xml:space="preserve">Financial items amounted to EUR </w:t>
      </w:r>
      <w:r w:rsidRPr="006B20E3">
        <w:rPr>
          <w:lang w:val="en-GB"/>
        </w:rPr>
        <w:t>-43</w:t>
      </w:r>
      <w:r w:rsidRPr="006B20E3">
        <w:rPr>
          <w:lang w:val="en-GB"/>
        </w:rPr>
        <w:t xml:space="preserve"> million (</w:t>
      </w:r>
      <w:r w:rsidRPr="006B20E3">
        <w:rPr>
          <w:lang w:val="en-GB"/>
        </w:rPr>
        <w:t>-47</w:t>
      </w:r>
      <w:r w:rsidRPr="006B20E3">
        <w:rPr>
          <w:lang w:val="en-GB"/>
        </w:rPr>
        <w:t xml:space="preserve">). Net interest totalled EUR </w:t>
      </w:r>
      <w:r w:rsidRPr="006B20E3">
        <w:rPr>
          <w:lang w:val="en-GB"/>
        </w:rPr>
        <w:t>-10</w:t>
      </w:r>
      <w:r w:rsidRPr="006B20E3">
        <w:rPr>
          <w:lang w:val="en-GB"/>
        </w:rPr>
        <w:t xml:space="preserve"> million (</w:t>
      </w:r>
      <w:r w:rsidRPr="006B20E3">
        <w:rPr>
          <w:lang w:val="en-GB"/>
        </w:rPr>
        <w:t>-12</w:t>
      </w:r>
      <w:r w:rsidRPr="006B20E3">
        <w:rPr>
          <w:lang w:val="en-GB"/>
        </w:rPr>
        <w:t xml:space="preserve">). Profit before taxes amounted to EUR </w:t>
      </w:r>
      <w:r w:rsidRPr="006B20E3">
        <w:rPr>
          <w:lang w:val="en-GB"/>
        </w:rPr>
        <w:t>191</w:t>
      </w:r>
      <w:r w:rsidRPr="006B20E3">
        <w:rPr>
          <w:lang w:val="en-GB"/>
        </w:rPr>
        <w:t xml:space="preserve"> million (</w:t>
      </w:r>
      <w:r w:rsidRPr="006B20E3">
        <w:rPr>
          <w:lang w:val="en-GB"/>
        </w:rPr>
        <w:t>315</w:t>
      </w:r>
      <w:r w:rsidRPr="006B20E3">
        <w:rPr>
          <w:lang w:val="en-GB"/>
        </w:rPr>
        <w:t xml:space="preserve">). Taxes amounted to EUR </w:t>
      </w:r>
      <w:r w:rsidRPr="006B20E3">
        <w:rPr>
          <w:lang w:val="en-GB"/>
        </w:rPr>
        <w:t>58</w:t>
      </w:r>
      <w:r w:rsidRPr="006B20E3">
        <w:rPr>
          <w:lang w:val="en-GB"/>
        </w:rPr>
        <w:t xml:space="preserve"> million (</w:t>
      </w:r>
      <w:r w:rsidRPr="006B20E3">
        <w:rPr>
          <w:lang w:val="en-GB"/>
        </w:rPr>
        <w:t>97</w:t>
      </w:r>
      <w:r w:rsidRPr="006B20E3">
        <w:rPr>
          <w:lang w:val="en-GB"/>
        </w:rPr>
        <w:t xml:space="preserve">), implying an effective tax rate of </w:t>
      </w:r>
      <w:r w:rsidRPr="006B20E3">
        <w:rPr>
          <w:lang w:val="en-GB"/>
        </w:rPr>
        <w:t>30.3</w:t>
      </w:r>
      <w:r w:rsidRPr="006B20E3">
        <w:rPr>
          <w:lang w:val="en-GB"/>
        </w:rPr>
        <w:t>% (</w:t>
      </w:r>
      <w:r w:rsidRPr="006B20E3">
        <w:rPr>
          <w:lang w:val="en-GB"/>
        </w:rPr>
        <w:t>30.7</w:t>
      </w:r>
      <w:r w:rsidRPr="006B20E3">
        <w:rPr>
          <w:lang w:val="en-GB"/>
        </w:rPr>
        <w:t xml:space="preserve">). Profit for the financial </w:t>
      </w:r>
      <w:r>
        <w:rPr>
          <w:lang w:val="en-GB"/>
        </w:rPr>
        <w:t>year</w:t>
      </w:r>
      <w:r w:rsidRPr="006B20E3">
        <w:rPr>
          <w:lang w:val="en-GB"/>
        </w:rPr>
        <w:t xml:space="preserve"> amounted to EUR </w:t>
      </w:r>
      <w:r w:rsidRPr="006B20E3">
        <w:rPr>
          <w:lang w:val="en-GB"/>
        </w:rPr>
        <w:t>133</w:t>
      </w:r>
      <w:r w:rsidRPr="006B20E3">
        <w:rPr>
          <w:lang w:val="en-GB"/>
        </w:rPr>
        <w:t xml:space="preserve"> million (</w:t>
      </w:r>
      <w:r w:rsidRPr="006B20E3">
        <w:rPr>
          <w:lang w:val="en-GB"/>
        </w:rPr>
        <w:t>218</w:t>
      </w:r>
      <w:r w:rsidRPr="006B20E3">
        <w:rPr>
          <w:lang w:val="en-GB"/>
        </w:rPr>
        <w:t xml:space="preserve">). Earnings per share totalled </w:t>
      </w:r>
      <w:r w:rsidRPr="006B20E3">
        <w:rPr>
          <w:lang w:val="en-GB"/>
        </w:rPr>
        <w:t>0.23</w:t>
      </w:r>
      <w:r w:rsidRPr="006B20E3">
        <w:rPr>
          <w:lang w:val="en-GB"/>
        </w:rPr>
        <w:t xml:space="preserve"> euro (</w:t>
      </w:r>
      <w:r w:rsidRPr="006B20E3">
        <w:rPr>
          <w:lang w:val="en-GB"/>
        </w:rPr>
        <w:t>0.37</w:t>
      </w:r>
      <w:r w:rsidRPr="006B20E3">
        <w:rPr>
          <w:lang w:val="en-GB"/>
        </w:rPr>
        <w:t xml:space="preserve">). Return on investment (ROI) was </w:t>
      </w:r>
      <w:r w:rsidRPr="006B20E3">
        <w:rPr>
          <w:lang w:val="en-GB"/>
        </w:rPr>
        <w:t>7.1</w:t>
      </w:r>
      <w:r w:rsidRPr="006B20E3">
        <w:rPr>
          <w:lang w:val="en-GB"/>
        </w:rPr>
        <w:t>% (</w:t>
      </w:r>
      <w:r w:rsidRPr="006B20E3">
        <w:rPr>
          <w:lang w:val="en-GB"/>
        </w:rPr>
        <w:t>11.5</w:t>
      </w:r>
      <w:r w:rsidRPr="006B20E3">
        <w:rPr>
          <w:lang w:val="en-GB"/>
        </w:rPr>
        <w:t xml:space="preserve">), while return on equity (ROE) was </w:t>
      </w:r>
      <w:r w:rsidRPr="006B20E3">
        <w:rPr>
          <w:lang w:val="en-GB"/>
        </w:rPr>
        <w:t>5.8</w:t>
      </w:r>
      <w:r w:rsidRPr="006B20E3">
        <w:rPr>
          <w:lang w:val="en-GB"/>
        </w:rPr>
        <w:t>% (</w:t>
      </w:r>
      <w:r w:rsidRPr="006B20E3">
        <w:rPr>
          <w:lang w:val="en-GB"/>
        </w:rPr>
        <w:t>9.0</w:t>
      </w:r>
      <w:r w:rsidRPr="006B20E3">
        <w:rPr>
          <w:lang w:val="en-GB"/>
        </w:rPr>
        <w:t>).</w:t>
      </w:r>
    </w:p>
    <w:p w:rsidR="005C5755" w:rsidP="000A3FFE" w14:paraId="32D4E412" w14:textId="77777777">
      <w:pPr>
        <w:pStyle w:val="Wnormal0"/>
        <w:spacing w:after="0" w:line="20" w:lineRule="exact"/>
        <w:rPr>
          <w:lang w:val="en-GB"/>
        </w:rPr>
      </w:pPr>
      <w:r>
        <w:rPr>
          <w:b/>
          <w:bCs/>
          <w:noProof/>
          <w:color w:val="0F172B"/>
          <w:spacing w:val="4"/>
          <w:lang w:val="en-GB"/>
        </w:rPr>
        <mc:AlternateContent>
          <mc:Choice Requires="wpg">
            <w:drawing>
              <wp:anchor distT="0" distB="0" distL="114300" distR="114300" simplePos="0" relativeHeight="251661312" behindDoc="0" locked="0" layoutInCell="1" allowOverlap="1">
                <wp:simplePos x="0" y="0"/>
                <wp:positionH relativeFrom="margin">
                  <wp:posOffset>-62865</wp:posOffset>
                </wp:positionH>
                <wp:positionV relativeFrom="margin">
                  <wp:posOffset>-65611</wp:posOffset>
                </wp:positionV>
                <wp:extent cx="3189920" cy="6126480"/>
                <wp:effectExtent l="0" t="0" r="0" b="7620"/>
                <wp:wrapNone/>
                <wp:docPr id="4" name="Group 4"/>
                <wp:cNvGraphicFramePr/>
                <a:graphic xmlns:a="http://schemas.openxmlformats.org/drawingml/2006/main">
                  <a:graphicData uri="http://schemas.microsoft.com/office/word/2010/wordprocessingGroup">
                    <wpg:wgp xmlns:wpg="http://schemas.microsoft.com/office/word/2010/wordprocessingGroup">
                      <wpg:cNvGrpSpPr/>
                      <wpg:grpSpPr>
                        <a:xfrm>
                          <a:off x="0" y="0"/>
                          <a:ext cx="3189920" cy="6126480"/>
                          <a:chOff x="-135250" y="-1"/>
                          <a:chExt cx="6884032" cy="3923207"/>
                        </a:xfrm>
                      </wpg:grpSpPr>
                      <wps:wsp xmlns:wps="http://schemas.microsoft.com/office/word/2010/wordprocessingShape">
                        <wps:cNvPr id="1008358428" name="Text Box 2"/>
                        <wps:cNvSpPr txBox="1">
                          <a:spLocks noChangeArrowheads="1"/>
                        </wps:cNvSpPr>
                        <wps:spPr bwMode="auto">
                          <a:xfrm>
                            <a:off x="0" y="-1"/>
                            <a:ext cx="6748782" cy="3923207"/>
                          </a:xfrm>
                          <a:prstGeom prst="rect">
                            <a:avLst/>
                          </a:prstGeom>
                          <a:solidFill>
                            <a:srgbClr val="FFFFFF"/>
                          </a:solidFill>
                          <a:ln w="9525">
                            <a:noFill/>
                            <a:miter lim="800000"/>
                            <a:headEnd/>
                            <a:tailEnd/>
                          </a:ln>
                        </wps:spPr>
                        <wps:txbx>
                          <w:txbxContent>
                            <w:tbl>
                              <w:tblPr>
                                <w:tblStyle w:val="TableGrid"/>
                                <w:tblW w:w="4590"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4590"/>
                              </w:tblGrid>
                              <w:tr w14:paraId="3348A0BA" w14:textId="77777777" w:rsidTr="0049526D">
                                <w:tblPrEx>
                                  <w:tblW w:w="4590"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3230"/>
                                </w:trPr>
                                <w:tc>
                                  <w:tcPr>
                                    <w:tcW w:w="4590" w:type="dxa"/>
                                    <w:tcMar>
                                      <w:top w:w="0" w:type="dxa"/>
                                      <w:left w:w="0" w:type="dxa"/>
                                      <w:bottom w:w="0" w:type="dxa"/>
                                      <w:right w:w="0" w:type="dxa"/>
                                    </w:tcMar>
                                  </w:tcPr>
                                  <w:p w:rsidR="00DB1E3E" w:rsidRPr="00562264" w:rsidP="00562264" w14:textId="77777777">
                                    <w:pPr>
                                      <w:pStyle w:val="Subtitle"/>
                                    </w:pPr>
                                    <w:r>
                                      <w:t xml:space="preserve"> </w:t>
                                    </w:r>
                                    <w:r w:rsidRPr="00562264">
                                      <w:t>Group net sales devel</w:t>
                                    </w:r>
                                    <w:r w:rsidRPr="00562264">
                                      <w:rPr>
                                        <w:rStyle w:val="SubtitleChar"/>
                                        <w:b/>
                                        <w:bCs/>
                                      </w:rPr>
                                      <w:t>o</w:t>
                                    </w:r>
                                    <w:r w:rsidRPr="00562264">
                                      <w:t>pment</w:t>
                                    </w:r>
                                  </w:p>
                                  <w:p w:rsidR="00DB1E3E" w:rsidRPr="00E95B43" w:rsidP="00531D73" w14:textId="77777777">
                                    <w:pPr>
                                      <w:pStyle w:val="Normal1"/>
                                      <w:rPr>
                                        <w:b/>
                                        <w:bCs/>
                                        <w:color w:val="FF7321"/>
                                        <w:lang w:val="en-GB"/>
                                      </w:rPr>
                                    </w:pPr>
                                    <w:r>
                                      <w:drawing>
                                        <wp:inline>
                                          <wp:extent cx="3025688" cy="1620000"/>
                                          <wp:docPr id="1" name="Chart_Group net sales devel"/>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14:paraId="1A49D5A8" w14:textId="77777777" w:rsidTr="0049526D">
                                <w:tblPrEx>
                                  <w:tblW w:w="4590" w:type="dxa"/>
                                  <w:tblInd w:w="-185" w:type="dxa"/>
                                  <w:tblCellMar>
                                    <w:left w:w="0" w:type="dxa"/>
                                    <w:right w:w="0" w:type="dxa"/>
                                  </w:tblCellMar>
                                  <w:tblLook w:val="04A0"/>
                                </w:tblPrEx>
                                <w:trPr>
                                  <w:trHeight w:val="3951"/>
                                </w:trPr>
                                <w:tc>
                                  <w:tcPr>
                                    <w:tcW w:w="4590" w:type="dxa"/>
                                    <w:tcMar>
                                      <w:top w:w="0" w:type="dxa"/>
                                      <w:left w:w="0" w:type="dxa"/>
                                      <w:bottom w:w="0" w:type="dxa"/>
                                      <w:right w:w="0" w:type="dxa"/>
                                    </w:tcMar>
                                  </w:tcPr>
                                  <w:p w:rsidR="00DB1E3E" w:rsidRPr="00531D73" w:rsidP="00DB1E3E" w14:textId="77777777">
                                    <w:pPr>
                                      <w:pStyle w:val="Subtitle"/>
                                    </w:pPr>
                                    <w:r>
                                      <w:t xml:space="preserve"> Result</w:t>
                                    </w:r>
                                    <w:r w:rsidRPr="00531D73">
                                      <w:t xml:space="preserve"> </w:t>
                                    </w:r>
                                  </w:p>
                                  <w:p w:rsidR="00DB1E3E" w:rsidP="00DB1E3E" w14:textId="19DDD4EB">
                                    <w:pPr>
                                      <w:pStyle w:val="Subtitle"/>
                                      <w:rPr>
                                        <w:lang w:val="da-DK"/>
                                      </w:rPr>
                                    </w:pPr>
                                    <w:r>
                                      <w:drawing>
                                        <wp:inline>
                                          <wp:extent cx="3025688" cy="1980000"/>
                                          <wp:docPr id="2103364881" name="Chart_Result_E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14:paraId="2261BA9E" w14:textId="77777777" w:rsidTr="0049526D">
                                <w:tblPrEx>
                                  <w:tblW w:w="4590" w:type="dxa"/>
                                  <w:tblInd w:w="-185" w:type="dxa"/>
                                  <w:tblCellMar>
                                    <w:left w:w="0" w:type="dxa"/>
                                    <w:right w:w="0" w:type="dxa"/>
                                  </w:tblCellMar>
                                  <w:tblLook w:val="04A0"/>
                                </w:tblPrEx>
                                <w:trPr>
                                  <w:trHeight w:val="2238"/>
                                </w:trPr>
                                <w:tc>
                                  <w:tcPr>
                                    <w:tcW w:w="4590" w:type="dxa"/>
                                  </w:tcPr>
                                  <w:p w:rsidR="00A34EF0" w:rsidRPr="00A34EF0" w:rsidP="00302ACF" w14:textId="77777777">
                                    <w:pPr>
                                      <w:pStyle w:val="Subtitle"/>
                                    </w:pPr>
                                    <w:r>
                                      <w:t xml:space="preserve"> Megawatts delivered</w:t>
                                    </w:r>
                                    <w:r w:rsidRPr="00531D73">
                                      <w:t xml:space="preserve"> </w:t>
                                    </w:r>
                                  </w:p>
                                  <w:tbl>
                                    <w:tblPr>
                                      <w:tblStyle w:val="TableNormal"/>
                                      <w:tblCaption w:val="Table_Megawatts_delivered_EN"/>
                                      <w:tblW w:w="4590" w:type="dxa"/>
                                      <w:tblLook w:val="0600"/>
                                    </w:tblPr>
                                    <w:tblGrid>
                                      <w:gridCol w:w="2385"/>
                                      <w:gridCol w:w="735"/>
                                      <w:gridCol w:w="735"/>
                                      <w:gridCol w:w="735"/>
                                    </w:tblGrid>
                                    <w:tr>
                                      <w:tblPrEx>
                                        <w:tblW w:w="4590" w:type="dxa"/>
                                        <w:tblLook w:val="0600"/>
                                      </w:tblPrEx>
                                      <w:trPr>
                                        <w:trHeight w:hRule="exact" w:val="253"/>
                                      </w:trPr>
                                      <w:tc>
                                        <w:tcPr>
                                          <w:tcW w:w="2385" w:type="dxa"/>
                                          <w:tcBorders>
                                            <w:top w:val="nil"/>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5"/>
                                              <w:u w:val="none"/>
                                              <w:vertAlign w:val="baseline"/>
                                            </w:rPr>
                                          </w:pPr>
                                        </w:p>
                                      </w:tc>
                                      <w:tc>
                                        <w:tcPr>
                                          <w:tcW w:w="7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2020</w:t>
                                          </w:r>
                                        </w:p>
                                      </w:tc>
                                      <w:tc>
                                        <w:tcPr>
                                          <w:tcW w:w="7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2019</w:t>
                                          </w:r>
                                        </w:p>
                                      </w:tc>
                                      <w:tc>
                                        <w:tcPr>
                                          <w:tcW w:w="7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Change</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238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Marine Power</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1,257</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1,505</w:t>
                                          </w:r>
                                        </w:p>
                                      </w:tc>
                                      <w:tc>
                                        <w:tcPr>
                                          <w:tcW w:w="735" w:type="dxa"/>
                                          <w:tcBorders>
                                            <w:top w:val="single" w:sz="8" w:space="0" w:color="000000"/>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-16%</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2385" w:type="dxa"/>
                                          <w:tcBorders>
                                            <w:top w:val="single" w:sz="4" w:space="0" w:color="004B6B"/>
                                            <w:left w:val="nil"/>
                                            <w:bottom w:val="single" w:sz="8"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Energy</w:t>
                                          </w:r>
                                        </w:p>
                                      </w:tc>
                                      <w:tc>
                                        <w:tcPr>
                                          <w:tcW w:w="735" w:type="dxa"/>
                                          <w:tcBorders>
                                            <w:top w:val="single" w:sz="4" w:space="0" w:color="004B6B"/>
                                            <w:left w:val="nil"/>
                                            <w:bottom w:val="single" w:sz="8"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1,172</w:t>
                                          </w:r>
                                        </w:p>
                                      </w:tc>
                                      <w:tc>
                                        <w:tcPr>
                                          <w:tcW w:w="735" w:type="dxa"/>
                                          <w:tcBorders>
                                            <w:top w:val="single" w:sz="4" w:space="0" w:color="004B6B"/>
                                            <w:left w:val="nil"/>
                                            <w:bottom w:val="single" w:sz="8"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2,072</w:t>
                                          </w:r>
                                        </w:p>
                                      </w:tc>
                                      <w:tc>
                                        <w:tcPr>
                                          <w:tcW w:w="735" w:type="dxa"/>
                                          <w:tcBorders>
                                            <w:top w:val="single" w:sz="4" w:space="0" w:color="000000"/>
                                            <w:left w:val="nil"/>
                                            <w:bottom w:val="single" w:sz="8"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-43%</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238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Wärtsilä total</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2,429</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3,577</w:t>
                                          </w:r>
                                        </w:p>
                                      </w:tc>
                                      <w:tc>
                                        <w:tcPr>
                                          <w:tcW w:w="735" w:type="dxa"/>
                                          <w:tcBorders>
                                            <w:top w:val="single" w:sz="8" w:space="0" w:color="000000"/>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-32%</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val="253"/>
                                      </w:trPr>
                                      <w:tc>
                                        <w:tcPr>
                                          <w:tcW w:w="2385" w:type="dxa"/>
                                          <w:tcBorders>
                                            <w:top w:val="single" w:sz="4" w:space="0" w:color="004B6B"/>
                                            <w:left w:val="nil"/>
                                            <w:bottom w:val="single" w:sz="8" w:space="0" w:color="000000"/>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By joint venture</w:t>
                                          </w:r>
                                        </w:p>
                                      </w:tc>
                                      <w:tc>
                                        <w:tcPr>
                                          <w:tcW w:w="735" w:type="dxa"/>
                                          <w:tcBorders>
                                            <w:top w:val="single" w:sz="4" w:space="0" w:color="004B6B"/>
                                            <w:left w:val="nil"/>
                                            <w:bottom w:val="single" w:sz="8"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274</w:t>
                                          </w:r>
                                        </w:p>
                                      </w:tc>
                                      <w:tc>
                                        <w:tcPr>
                                          <w:tcW w:w="735" w:type="dxa"/>
                                          <w:tcBorders>
                                            <w:top w:val="single" w:sz="4" w:space="0" w:color="004B6B"/>
                                            <w:left w:val="nil"/>
                                            <w:bottom w:val="single" w:sz="8"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432</w:t>
                                          </w:r>
                                        </w:p>
                                      </w:tc>
                                      <w:tc>
                                        <w:tcPr>
                                          <w:tcW w:w="735" w:type="dxa"/>
                                          <w:tcBorders>
                                            <w:top w:val="single" w:sz="4" w:space="0" w:color="000000"/>
                                            <w:left w:val="nil"/>
                                            <w:bottom w:val="single" w:sz="8"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-37%</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val="253"/>
                                      </w:trPr>
                                      <w:tc>
                                        <w:tcPr>
                                          <w:tcW w:w="2385" w:type="dxa"/>
                                          <w:tcBorders>
                                            <w:top w:val="single" w:sz="8" w:space="0" w:color="000000"/>
                                            <w:left w:val="nil"/>
                                            <w:bottom w:val="single" w:sz="4" w:space="0" w:color="004B6B"/>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Deliveries total</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2,703</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4,009</w:t>
                                          </w:r>
                                        </w:p>
                                      </w:tc>
                                      <w:tc>
                                        <w:tcPr>
                                          <w:tcW w:w="735" w:type="dxa"/>
                                          <w:tcBorders>
                                            <w:top w:val="single" w:sz="8" w:space="0" w:color="000000"/>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-33%</w:t>
                                          </w:r>
                                        </w:p>
                                      </w:tc>
                                    </w:tr>
                                  </w:tbl>
                                  <w:p/>
                                </w:tc>
                              </w:tr>
                            </w:tbl>
                            <w:p w:rsidR="00D46C68" w:rsidRPr="00BB42A5" w:rsidP="005545D2" w14:textId="77777777">
                              <w:pPr>
                                <w:rPr>
                                  <w:lang w:val="da-DK"/>
                                </w:rPr>
                              </w:pPr>
                            </w:p>
                          </w:txbxContent>
                        </wps:txbx>
                        <wps:bodyPr rot="0" vert="horz" wrap="square" anchor="t" anchorCtr="0"/>
                      </wps:wsp>
                      <wps:wsp xmlns:wps="http://schemas.microsoft.com/office/word/2010/wordprocessingShape">
                        <wps:cNvPr id="142233321" name="Text Box 2"/>
                        <wps:cNvSpPr txBox="1">
                          <a:spLocks noChangeArrowheads="1"/>
                        </wps:cNvSpPr>
                        <wps:spPr bwMode="auto">
                          <a:xfrm>
                            <a:off x="-135250" y="2728974"/>
                            <a:ext cx="2786909" cy="130344"/>
                          </a:xfrm>
                          <a:prstGeom prst="rect">
                            <a:avLst/>
                          </a:prstGeom>
                          <a:solidFill>
                            <a:srgbClr val="FFFFFF"/>
                          </a:solidFill>
                          <a:ln w="9525">
                            <a:noFill/>
                            <a:miter lim="800000"/>
                            <a:headEnd/>
                            <a:tailEnd/>
                          </a:ln>
                        </wps:spPr>
                        <wps:txbx>
                          <w:txbxContent>
                            <w:p w:rsidR="00E930DF" w:rsidRPr="00A762EA" w:rsidP="00E930DF" w14:textId="77777777">
                              <w:pPr>
                                <w:rPr>
                                  <w:rFonts w:ascii="Arial" w:hAnsi="Arial" w:cs="Arial"/>
                                  <w:sz w:val="13"/>
                                  <w:szCs w:val="13"/>
                                </w:rPr>
                              </w:pPr>
                              <w:r w:rsidRPr="00A762EA">
                                <w:rPr>
                                  <w:rFonts w:ascii="Arial" w:hAnsi="Arial" w:cs="Arial"/>
                                  <w:sz w:val="13"/>
                                  <w:szCs w:val="13"/>
                                  <w:lang w:val="fi-FI"/>
                                </w:rPr>
                                <w:t>*Restated due to IFRS 15</w:t>
                              </w:r>
                            </w:p>
                          </w:txbxContent>
                        </wps:txbx>
                        <wps:bodyPr rot="0" vert="horz" wrap="square" anchor="t" anchorCtr="0"/>
                      </wps:wsp>
                      <wps:wsp xmlns:wps="http://schemas.microsoft.com/office/word/2010/wordprocessingShape">
                        <wps:cNvPr id="2" name="Text Box 2"/>
                        <wps:cNvSpPr txBox="1">
                          <a:spLocks noChangeArrowheads="1"/>
                        </wps:cNvSpPr>
                        <wps:spPr bwMode="auto">
                          <a:xfrm>
                            <a:off x="-135215" y="1179646"/>
                            <a:ext cx="3290520" cy="121154"/>
                          </a:xfrm>
                          <a:prstGeom prst="rect">
                            <a:avLst/>
                          </a:prstGeom>
                          <a:solidFill>
                            <a:srgbClr val="FFFFFF"/>
                          </a:solidFill>
                          <a:ln w="9525">
                            <a:noFill/>
                            <a:miter lim="800000"/>
                            <a:headEnd/>
                            <a:tailEnd/>
                          </a:ln>
                        </wps:spPr>
                        <wps:txbx>
                          <w:txbxContent>
                            <w:p w:rsidR="00FA7EA1" w:rsidRPr="00A762EA" w:rsidP="00FA7EA1" w14:textId="77777777">
                              <w:pPr>
                                <w:rPr>
                                  <w:rFonts w:ascii="Arial" w:hAnsi="Arial" w:cs="Arial"/>
                                  <w:sz w:val="13"/>
                                  <w:szCs w:val="13"/>
                                </w:rPr>
                              </w:pPr>
                              <w:r w:rsidRPr="00A762EA">
                                <w:rPr>
                                  <w:rFonts w:ascii="Arial" w:hAnsi="Arial" w:cs="Arial"/>
                                  <w:sz w:val="13"/>
                                  <w:szCs w:val="13"/>
                                  <w:lang w:val="fi-FI"/>
                                </w:rPr>
                                <w:t>*Restated due to IFRS 15</w:t>
                              </w:r>
                            </w:p>
                          </w:txbxContent>
                        </wps:txbx>
                        <wps:bodyPr rot="0" vert="horz" wrap="square" anchor="t" anchorCtr="0"/>
                      </wps:wsp>
                    </wpg:wgp>
                  </a:graphicData>
                </a:graphic>
                <wp14:sizeRelH relativeFrom="margin">
                  <wp14:pctWidth>0</wp14:pctWidth>
                </wp14:sizeRelH>
                <wp14:sizeRelV relativeFrom="margin">
                  <wp14:pctHeight>0</wp14:pctHeight>
                </wp14:sizeRelV>
              </wp:anchor>
            </w:drawing>
          </mc:Choice>
          <mc:Fallback>
            <w:pict>
              <v:group id="Group 4" o:spid="_x0000_s1026" style="width:251.17pt;height:483pt;margin-top:-5.17pt;margin-left:-4.95pt;mso-height-percent:0;mso-height-relative:margin;mso-position-horizontal-relative:margin;mso-position-vertical-relative:margin;mso-width-percent:0;mso-width-relative:margin;mso-wrap-distance-bottom:0;mso-wrap-distance-left:9pt;mso-wrap-distance-right:9pt;mso-wrap-distance-top:0;position:absolute;z-index:251660288" coordorigin="-424,0" coordsize="21600,21600">
                <v:shape id="_x0000_s1027" type="#_x0000_t202" style="width:21176;height:21600;position:absolute;v-text-anchor:top" fillcolor="white" stroked="f" strokeweight="0.75pt">
                  <v:textbox>
                    <w:txbxContent>
                      <w:tbl>
                        <w:tblPr>
                          <w:tblStyle w:val="TableGrid"/>
                          <w:tblW w:w="4590"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4590"/>
                        </w:tblGrid>
                        <w:tr w14:paraId="3348A0BA" w14:textId="77777777" w:rsidTr="0049526D">
                          <w:tblPrEx>
                            <w:tblW w:w="4590"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3230"/>
                          </w:trPr>
                          <w:tc>
                            <w:tcPr>
                              <w:tcW w:w="4590" w:type="dxa"/>
                              <w:tcMar>
                                <w:top w:w="0" w:type="dxa"/>
                                <w:left w:w="0" w:type="dxa"/>
                                <w:bottom w:w="0" w:type="dxa"/>
                                <w:right w:w="0" w:type="dxa"/>
                              </w:tcMar>
                            </w:tcPr>
                            <w:p w:rsidR="00DB1E3E" w:rsidRPr="00562264" w:rsidP="00562264" w14:textId="77777777">
                              <w:pPr>
                                <w:pStyle w:val="Subtitle"/>
                              </w:pPr>
                              <w:r>
                                <w:t xml:space="preserve"> </w:t>
                              </w:r>
                              <w:r w:rsidRPr="00562264">
                                <w:t>Group net sales devel</w:t>
                              </w:r>
                              <w:r w:rsidRPr="00562264">
                                <w:rPr>
                                  <w:rStyle w:val="SubtitleChar"/>
                                  <w:b/>
                                  <w:bCs/>
                                </w:rPr>
                                <w:t>o</w:t>
                              </w:r>
                              <w:r w:rsidRPr="00562264">
                                <w:t>pment</w:t>
                              </w:r>
                            </w:p>
                            <w:p w:rsidR="00DB1E3E" w:rsidRPr="00E95B43" w:rsidP="00531D73" w14:textId="77777777">
                              <w:pPr>
                                <w:pStyle w:val="Normal1"/>
                                <w:rPr>
                                  <w:b/>
                                  <w:bCs/>
                                  <w:color w:val="FF7321"/>
                                  <w:lang w:val="en-GB"/>
                                </w:rPr>
                              </w:pPr>
                              <w:drawing>
                                <wp:inline>
                                  <wp:extent cx="3025688" cy="1620000"/>
                                  <wp:docPr id="100010" name="[PlaceholderChartForReportGeneration-031aa633-5552-4c67-b6c0-48d7b28f6e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01783" name=""/>
                                          <pic:cNvPicPr>
                                            <a:picLocks noChangeAspect="1"/>
                                          </pic:cNvPicPr>
                                        </pic:nvPicPr>
                                        <pic:blipFill>
                                          <a:blip xmlns:r="http://schemas.openxmlformats.org/officeDocument/2006/relationships" r:embed="rId13"/>
                                          <a:stretch>
                                            <a:fillRect/>
                                          </a:stretch>
                                        </pic:blipFill>
                                        <pic:spPr>
                                          <a:xfrm>
                                            <a:off x="0" y="0"/>
                                            <a:ext cx="3025688" cy="1620000"/>
                                          </a:xfrm>
                                          <a:prstGeom prst="rect">
                                            <a:avLst/>
                                          </a:prstGeom>
                                        </pic:spPr>
                                      </pic:pic>
                                    </a:graphicData>
                                  </a:graphic>
                                </wp:inline>
                              </w:drawing>
                            </w:p>
                          </w:tc>
                        </w:tr>
                        <w:tr w14:paraId="1A49D5A8" w14:textId="77777777" w:rsidTr="0049526D">
                          <w:tblPrEx>
                            <w:tblW w:w="4590" w:type="dxa"/>
                            <w:tblInd w:w="-185" w:type="dxa"/>
                            <w:tblCellMar>
                              <w:left w:w="0" w:type="dxa"/>
                              <w:right w:w="0" w:type="dxa"/>
                            </w:tblCellMar>
                            <w:tblLook w:val="04A0"/>
                          </w:tblPrEx>
                          <w:trPr>
                            <w:trHeight w:val="3951"/>
                          </w:trPr>
                          <w:tc>
                            <w:tcPr>
                              <w:tcW w:w="4590" w:type="dxa"/>
                              <w:tcMar>
                                <w:top w:w="0" w:type="dxa"/>
                                <w:left w:w="0" w:type="dxa"/>
                                <w:bottom w:w="0" w:type="dxa"/>
                                <w:right w:w="0" w:type="dxa"/>
                              </w:tcMar>
                            </w:tcPr>
                            <w:p w:rsidR="00DB1E3E" w:rsidRPr="00531D73" w:rsidP="00DB1E3E" w14:textId="77777777">
                              <w:pPr>
                                <w:pStyle w:val="Subtitle"/>
                              </w:pPr>
                              <w:r>
                                <w:t xml:space="preserve"> Result</w:t>
                              </w:r>
                              <w:r w:rsidRPr="00531D73">
                                <w:t xml:space="preserve"> </w:t>
                              </w:r>
                            </w:p>
                            <w:p w:rsidR="00DB1E3E" w:rsidP="00DB1E3E" w14:textId="19DDD4EB">
                              <w:pPr>
                                <w:pStyle w:val="Subtitle"/>
                                <w:rPr>
                                  <w:lang w:val="da-DK"/>
                                </w:rPr>
                              </w:pPr>
                              <w:drawing>
                                <wp:inline>
                                  <wp:extent cx="3025688" cy="1980000"/>
                                  <wp:docPr id="100011" name="[PlaceholderChartForReportGeneration-e880a78c-f3e0-408f-8d9d-362ebd73b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26102" name=""/>
                                          <pic:cNvPicPr>
                                            <a:picLocks noChangeAspect="1"/>
                                          </pic:cNvPicPr>
                                        </pic:nvPicPr>
                                        <pic:blipFill>
                                          <a:blip xmlns:r="http://schemas.openxmlformats.org/officeDocument/2006/relationships" r:embed="rId13"/>
                                          <a:stretch>
                                            <a:fillRect/>
                                          </a:stretch>
                                        </pic:blipFill>
                                        <pic:spPr>
                                          <a:xfrm>
                                            <a:off x="0" y="0"/>
                                            <a:ext cx="3025688" cy="1980000"/>
                                          </a:xfrm>
                                          <a:prstGeom prst="rect">
                                            <a:avLst/>
                                          </a:prstGeom>
                                        </pic:spPr>
                                      </pic:pic>
                                    </a:graphicData>
                                  </a:graphic>
                                </wp:inline>
                              </w:drawing>
                            </w:p>
                          </w:tc>
                        </w:tr>
                        <w:tr w14:paraId="2261BA9E" w14:textId="77777777" w:rsidTr="0049526D">
                          <w:tblPrEx>
                            <w:tblW w:w="4590" w:type="dxa"/>
                            <w:tblInd w:w="-185" w:type="dxa"/>
                            <w:tblCellMar>
                              <w:left w:w="0" w:type="dxa"/>
                              <w:right w:w="0" w:type="dxa"/>
                            </w:tblCellMar>
                            <w:tblLook w:val="04A0"/>
                          </w:tblPrEx>
                          <w:trPr>
                            <w:trHeight w:val="2238"/>
                          </w:trPr>
                          <w:tc>
                            <w:tcPr>
                              <w:tcW w:w="4590" w:type="dxa"/>
                            </w:tcPr>
                            <w:p w:rsidR="00A34EF0" w:rsidRPr="00A34EF0" w:rsidP="00302ACF" w14:textId="77777777">
                              <w:pPr>
                                <w:pStyle w:val="Subtitle"/>
                              </w:pPr>
                              <w:r>
                                <w:t xml:space="preserve"> Megawatts delivered</w:t>
                              </w:r>
                              <w:r w:rsidRPr="00531D73">
                                <w:t xml:space="preserve"> </w:t>
                              </w:r>
                            </w:p>
                            <w:tbl>
                              <w:tblPr>
                                <w:tblStyle w:val="TableNormal"/>
                                <w:tblCaption w:val="Table_Megawatts_delivered_EN"/>
                                <w:tblW w:w="4590" w:type="dxa"/>
                                <w:tblLook w:val="0600"/>
                              </w:tblPr>
                              <w:tblGrid>
                                <w:gridCol w:w="2385"/>
                                <w:gridCol w:w="735"/>
                                <w:gridCol w:w="735"/>
                                <w:gridCol w:w="735"/>
                              </w:tblGrid>
                              <w:tr>
                                <w:tblPrEx>
                                  <w:tblW w:w="4590" w:type="dxa"/>
                                  <w:tblLook w:val="0600"/>
                                </w:tblPrEx>
                                <w:trPr>
                                  <w:trHeight w:hRule="exact" w:val="253"/>
                                </w:trPr>
                                <w:tc>
                                  <w:tcPr>
                                    <w:tcW w:w="2385" w:type="dxa"/>
                                    <w:tcBorders>
                                      <w:top w:val="nil"/>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5"/>
                                        <w:u w:val="none"/>
                                        <w:vertAlign w:val="baseline"/>
                                      </w:rPr>
                                    </w:pPr>
                                  </w:p>
                                </w:tc>
                                <w:tc>
                                  <w:tcPr>
                                    <w:tcW w:w="7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2020</w:t>
                                    </w:r>
                                  </w:p>
                                </w:tc>
                                <w:tc>
                                  <w:tcPr>
                                    <w:tcW w:w="7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2019</w:t>
                                    </w:r>
                                  </w:p>
                                </w:tc>
                                <w:tc>
                                  <w:tcPr>
                                    <w:tcW w:w="73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5"/>
                                        <w:u w:val="none"/>
                                        <w:vertAlign w:val="baseline"/>
                                      </w:rPr>
                                    </w:pPr>
                                    <w:r>
                                      <w:rPr>
                                        <w:rFonts w:ascii="Arial" w:eastAsia="Arial" w:hAnsi="Arial" w:cs="Arial"/>
                                        <w:b/>
                                        <w:i w:val="0"/>
                                        <w:strike w:val="0"/>
                                        <w:color w:val="000000"/>
                                        <w:sz w:val="15"/>
                                        <w:u w:val="none"/>
                                        <w:vertAlign w:val="baseline"/>
                                      </w:rPr>
                                      <w:t>Change</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238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Marine Power</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1,257</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1,505</w:t>
                                    </w:r>
                                  </w:p>
                                </w:tc>
                                <w:tc>
                                  <w:tcPr>
                                    <w:tcW w:w="735" w:type="dxa"/>
                                    <w:tcBorders>
                                      <w:top w:val="single" w:sz="8" w:space="0" w:color="000000"/>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-16%</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2385" w:type="dxa"/>
                                    <w:tcBorders>
                                      <w:top w:val="single" w:sz="4" w:space="0" w:color="004B6B"/>
                                      <w:left w:val="nil"/>
                                      <w:bottom w:val="single" w:sz="8"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Energy</w:t>
                                    </w:r>
                                  </w:p>
                                </w:tc>
                                <w:tc>
                                  <w:tcPr>
                                    <w:tcW w:w="735" w:type="dxa"/>
                                    <w:tcBorders>
                                      <w:top w:val="single" w:sz="4" w:space="0" w:color="004B6B"/>
                                      <w:left w:val="nil"/>
                                      <w:bottom w:val="single" w:sz="8"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1,172</w:t>
                                    </w:r>
                                  </w:p>
                                </w:tc>
                                <w:tc>
                                  <w:tcPr>
                                    <w:tcW w:w="735" w:type="dxa"/>
                                    <w:tcBorders>
                                      <w:top w:val="single" w:sz="4" w:space="0" w:color="004B6B"/>
                                      <w:left w:val="nil"/>
                                      <w:bottom w:val="single" w:sz="8"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2,072</w:t>
                                    </w:r>
                                  </w:p>
                                </w:tc>
                                <w:tc>
                                  <w:tcPr>
                                    <w:tcW w:w="735" w:type="dxa"/>
                                    <w:tcBorders>
                                      <w:top w:val="single" w:sz="4" w:space="0" w:color="000000"/>
                                      <w:left w:val="nil"/>
                                      <w:bottom w:val="single" w:sz="8"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-43%</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hRule="exact" w:val="253"/>
                                </w:trPr>
                                <w:tc>
                                  <w:tcPr>
                                    <w:tcW w:w="238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Wärtsilä total</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2,429</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3,577</w:t>
                                    </w:r>
                                  </w:p>
                                </w:tc>
                                <w:tc>
                                  <w:tcPr>
                                    <w:tcW w:w="735" w:type="dxa"/>
                                    <w:tcBorders>
                                      <w:top w:val="single" w:sz="8" w:space="0" w:color="000000"/>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-32%</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val="253"/>
                                </w:trPr>
                                <w:tc>
                                  <w:tcPr>
                                    <w:tcW w:w="2385" w:type="dxa"/>
                                    <w:tcBorders>
                                      <w:top w:val="single" w:sz="4" w:space="0" w:color="004B6B"/>
                                      <w:left w:val="nil"/>
                                      <w:bottom w:val="single" w:sz="8" w:space="0" w:color="000000"/>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By joint venture</w:t>
                                    </w:r>
                                  </w:p>
                                </w:tc>
                                <w:tc>
                                  <w:tcPr>
                                    <w:tcW w:w="735" w:type="dxa"/>
                                    <w:tcBorders>
                                      <w:top w:val="single" w:sz="4" w:space="0" w:color="004B6B"/>
                                      <w:left w:val="nil"/>
                                      <w:bottom w:val="single" w:sz="8"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274</w:t>
                                    </w:r>
                                  </w:p>
                                </w:tc>
                                <w:tc>
                                  <w:tcPr>
                                    <w:tcW w:w="735" w:type="dxa"/>
                                    <w:tcBorders>
                                      <w:top w:val="single" w:sz="4" w:space="0" w:color="004B6B"/>
                                      <w:left w:val="nil"/>
                                      <w:bottom w:val="single" w:sz="8"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432</w:t>
                                    </w:r>
                                  </w:p>
                                </w:tc>
                                <w:tc>
                                  <w:tcPr>
                                    <w:tcW w:w="735" w:type="dxa"/>
                                    <w:tcBorders>
                                      <w:top w:val="single" w:sz="4" w:space="0" w:color="000000"/>
                                      <w:left w:val="nil"/>
                                      <w:bottom w:val="single" w:sz="8"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-37%</w:t>
                                    </w:r>
                                  </w:p>
                                </w:tc>
                              </w:tr>
                              <w:tr>
                                <w:tblPrEx>
                                  <w:tblW w:w="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600"/>
                                </w:tblPrEx>
                                <w:trPr>
                                  <w:trHeight w:val="253"/>
                                </w:trPr>
                                <w:tc>
                                  <w:tcPr>
                                    <w:tcW w:w="2385" w:type="dxa"/>
                                    <w:tcBorders>
                                      <w:top w:val="single" w:sz="8" w:space="0" w:color="000000"/>
                                      <w:left w:val="nil"/>
                                      <w:bottom w:val="single" w:sz="4" w:space="0" w:color="004B6B"/>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Deliveries total</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2,703</w:t>
                                    </w:r>
                                  </w:p>
                                </w:tc>
                                <w:tc>
                                  <w:tcPr>
                                    <w:tcW w:w="735"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4,009</w:t>
                                    </w:r>
                                  </w:p>
                                </w:tc>
                                <w:tc>
                                  <w:tcPr>
                                    <w:tcW w:w="735" w:type="dxa"/>
                                    <w:tcBorders>
                                      <w:top w:val="single" w:sz="8" w:space="0" w:color="000000"/>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-33%</w:t>
                                    </w:r>
                                  </w:p>
                                </w:tc>
                              </w:tr>
                            </w:tbl>
                            <w:p/>
                          </w:tc>
                        </w:tr>
                      </w:tbl>
                      <w:p w:rsidR="00D46C68" w:rsidRPr="00BB42A5" w:rsidP="005545D2" w14:textId="77777777">
                        <w:pPr>
                          <w:rPr>
                            <w:lang w:val="da-DK"/>
                          </w:rPr>
                        </w:pPr>
                      </w:p>
                    </w:txbxContent>
                  </v:textbox>
                </v:shape>
                <v:shape id="_x0000_s1028" type="#_x0000_t202" style="width:8744;height:718;left:-424;position:absolute;top:15025;v-text-anchor:top" fillcolor="white" stroked="f" strokeweight="0.75pt">
                  <v:textbox>
                    <w:txbxContent>
                      <w:p w:rsidR="00E930DF" w:rsidRPr="00A762EA" w:rsidP="00E930DF" w14:textId="77777777">
                        <w:pPr>
                          <w:rPr>
                            <w:rFonts w:ascii="Arial" w:hAnsi="Arial" w:cs="Arial"/>
                            <w:sz w:val="13"/>
                            <w:szCs w:val="13"/>
                          </w:rPr>
                        </w:pPr>
                        <w:r w:rsidRPr="00A762EA">
                          <w:rPr>
                            <w:rFonts w:ascii="Arial" w:hAnsi="Arial" w:cs="Arial"/>
                            <w:sz w:val="13"/>
                            <w:szCs w:val="13"/>
                            <w:lang w:val="fi-FI"/>
                          </w:rPr>
                          <w:t>*Restated due to IFRS 15</w:t>
                        </w:r>
                      </w:p>
                    </w:txbxContent>
                  </v:textbox>
                </v:shape>
                <v:shape id="_x0000_s1029" type="#_x0000_t202" style="width:10325;height:667;left:-424;position:absolute;top:6495;v-text-anchor:top" fillcolor="white" stroked="f" strokeweight="0.75pt">
                  <v:textbox>
                    <w:txbxContent>
                      <w:p w:rsidR="00FA7EA1" w:rsidRPr="00A762EA" w:rsidP="00FA7EA1" w14:textId="77777777">
                        <w:pPr>
                          <w:rPr>
                            <w:rFonts w:ascii="Arial" w:hAnsi="Arial" w:cs="Arial"/>
                            <w:sz w:val="13"/>
                            <w:szCs w:val="13"/>
                          </w:rPr>
                        </w:pPr>
                        <w:r w:rsidRPr="00A762EA">
                          <w:rPr>
                            <w:rFonts w:ascii="Arial" w:hAnsi="Arial" w:cs="Arial"/>
                            <w:sz w:val="13"/>
                            <w:szCs w:val="13"/>
                            <w:lang w:val="fi-FI"/>
                          </w:rPr>
                          <w:t>*Restated due to IFRS 15</w:t>
                        </w:r>
                      </w:p>
                    </w:txbxContent>
                  </v:textbox>
                </v:shape>
                <w10:wrap anchorx="margin" anchory="margin"/>
              </v:group>
            </w:pict>
          </mc:Fallback>
        </mc:AlternateContent>
      </w:r>
      <w:r>
        <w:t xml:space="preserve"> </w:t>
      </w:r>
    </w:p>
    <w:p w:rsidR="00F714BD" w:rsidRPr="0025190F" w:rsidP="00577CEC" w14:paraId="465EF391" w14:textId="77777777">
      <w:pPr>
        <w:pStyle w:val="WHeading3"/>
      </w:pPr>
      <w:bookmarkStart w:id="12" w:name="RG_MARKER_4012"/>
      <w:r>
        <w:br w:type="column"/>
      </w:r>
      <w:bookmarkEnd w:id="12"/>
      <w:r w:rsidRPr="0025190F">
        <w:t>Financing and cash flow</w:t>
      </w:r>
    </w:p>
    <w:tbl>
      <w:tblPr>
        <w:tblStyle w:val="TableGrid"/>
        <w:tblpPr w:leftFromText="180" w:rightFromText="180" w:vertAnchor="text" w:horzAnchor="margin" w:tblpXSpec="center" w:tblpY="2016"/>
        <w:tblW w:w="4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4752"/>
      </w:tblGrid>
      <w:tr w14:paraId="729C0C63" w14:textId="77777777" w:rsidTr="0065079C">
        <w:tblPrEx>
          <w:tblW w:w="4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934"/>
        </w:trPr>
        <w:tc>
          <w:tcPr>
            <w:tcW w:w="4739" w:type="dxa"/>
          </w:tcPr>
          <w:p w:rsidR="0065079C" w:rsidRPr="00A63537" w:rsidP="0065079C" w14:paraId="43B2DAEA" w14:textId="77777777">
            <w:pPr>
              <w:pStyle w:val="Subtitle"/>
            </w:pPr>
            <w:r w:rsidRPr="000207AE">
              <w:rPr>
                <w:szCs w:val="17"/>
              </w:rPr>
              <w:br w:type="column"/>
            </w:r>
            <w:r w:rsidRPr="005A0CD2">
              <w:t>Loans</w:t>
            </w:r>
          </w:p>
          <w:p w:rsidR="0065079C" w:rsidP="0065079C" w14:paraId="3F8529A9" w14:textId="77777777">
            <w:pPr>
              <w:suppressAutoHyphens/>
              <w:spacing w:after="240" w:line="276" w:lineRule="auto"/>
              <w:rPr>
                <w:rFonts w:ascii="Arial" w:hAnsi="Arial" w:cs="Arial"/>
                <w:spacing w:val="2"/>
                <w:sz w:val="17"/>
                <w:szCs w:val="17"/>
                <w:lang w:val="fi-FI"/>
              </w:rPr>
            </w:pPr>
            <w:r w:rsidRPr="004100C9">
              <w:rPr>
                <w:rFonts w:ascii="Arial" w:hAnsi="Arial" w:cs="Arial"/>
                <w:noProof/>
                <w:spacing w:val="2"/>
                <w:sz w:val="17"/>
                <w:szCs w:val="17"/>
                <w:lang w:val="fi-FI"/>
              </w:rPr>
              <w:drawing>
                <wp:inline distT="0" distB="0" distL="0" distR="0">
                  <wp:extent cx="3017520" cy="2116455"/>
                  <wp:effectExtent l="0" t="0" r="0" b="0"/>
                  <wp:docPr id="1050051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662989" name=""/>
                          <pic:cNvPicPr/>
                        </pic:nvPicPr>
                        <pic:blipFill>
                          <a:blip xmlns:r="http://schemas.openxmlformats.org/officeDocument/2006/relationships" r:embed="rId14"/>
                          <a:stretch>
                            <a:fillRect/>
                          </a:stretch>
                        </pic:blipFill>
                        <pic:spPr>
                          <a:xfrm>
                            <a:off x="0" y="0"/>
                            <a:ext cx="3017520" cy="2116455"/>
                          </a:xfrm>
                          <a:prstGeom prst="rect">
                            <a:avLst/>
                          </a:prstGeom>
                        </pic:spPr>
                      </pic:pic>
                    </a:graphicData>
                  </a:graphic>
                </wp:inline>
              </w:drawing>
            </w:r>
          </w:p>
        </w:tc>
      </w:tr>
      <w:tr w14:paraId="57AC06F5" w14:textId="77777777" w:rsidTr="0065079C">
        <w:tblPrEx>
          <w:tblW w:w="4739" w:type="dxa"/>
          <w:tblCellMar>
            <w:left w:w="0" w:type="dxa"/>
            <w:right w:w="0" w:type="dxa"/>
          </w:tblCellMar>
          <w:tblLook w:val="04A0"/>
        </w:tblPrEx>
        <w:trPr>
          <w:trHeight w:val="1121"/>
        </w:trPr>
        <w:tc>
          <w:tcPr>
            <w:tcW w:w="4739" w:type="dxa"/>
            <w:tcMar>
              <w:top w:w="0" w:type="dxa"/>
              <w:left w:w="0" w:type="dxa"/>
              <w:bottom w:w="0" w:type="dxa"/>
              <w:right w:w="0" w:type="dxa"/>
            </w:tcMar>
          </w:tcPr>
          <w:p w:rsidR="0065079C" w:rsidRPr="005A0CD2" w:rsidP="0065079C" w14:paraId="6794238E" w14:textId="77777777">
            <w:pPr>
              <w:pStyle w:val="Subtitle"/>
            </w:pPr>
            <w:r w:rsidRPr="005A0CD2">
              <w:t>Committed revolving credit facilities (end of period)</w:t>
            </w:r>
          </w:p>
          <w:p w:rsidR="0065079C" w:rsidP="0065079C" w14:paraId="3924E683" w14:textId="77777777">
            <w:pPr>
              <w:suppressAutoHyphens/>
              <w:spacing w:after="240" w:line="276" w:lineRule="auto"/>
              <w:rPr>
                <w:rFonts w:ascii="Arial" w:hAnsi="Arial" w:cs="Arial"/>
                <w:spacing w:val="2"/>
                <w:sz w:val="17"/>
                <w:szCs w:val="17"/>
                <w:lang w:val="fi-FI"/>
              </w:rPr>
            </w:pPr>
            <w:r>
              <w:drawing>
                <wp:inline>
                  <wp:extent cx="3049499" cy="1620000"/>
                  <wp:docPr id="406767189" name="Chart_Credit facilities"/>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EA1C4A" w:rsidP="00EA1C4A" w14:paraId="7D93B6E6" w14:textId="77777777">
      <w:pPr>
        <w:pStyle w:val="Wnormal0"/>
        <w:rPr>
          <w:lang w:val="en-GB"/>
        </w:rPr>
      </w:pPr>
      <w:r w:rsidRPr="002561EA">
        <w:rPr>
          <w:color w:val="auto"/>
          <w:lang w:val="en-GB"/>
        </w:rPr>
        <w:t>Wärtsilä’s</w:t>
      </w:r>
      <w:r w:rsidRPr="002561EA">
        <w:rPr>
          <w:color w:val="auto"/>
          <w:lang w:val="en-GB"/>
        </w:rPr>
        <w:t xml:space="preserve"> cash flow from operating activities in </w:t>
      </w:r>
      <w:r w:rsidRPr="002561EA">
        <w:rPr>
          <w:color w:val="auto"/>
          <w:lang w:val="en-GB"/>
        </w:rPr>
        <w:t>2020</w:t>
      </w:r>
      <w:r w:rsidRPr="002561EA">
        <w:rPr>
          <w:color w:val="auto"/>
          <w:lang w:val="en-GB"/>
        </w:rPr>
        <w:t xml:space="preserve"> increased to EUR </w:t>
      </w:r>
      <w:r w:rsidRPr="002561EA">
        <w:rPr>
          <w:color w:val="auto"/>
          <w:lang w:val="en-GB"/>
        </w:rPr>
        <w:t>681</w:t>
      </w:r>
      <w:r w:rsidRPr="002561EA">
        <w:rPr>
          <w:color w:val="auto"/>
          <w:lang w:val="en-GB"/>
        </w:rPr>
        <w:t xml:space="preserve"> million (</w:t>
      </w:r>
      <w:r w:rsidRPr="002561EA">
        <w:rPr>
          <w:color w:val="auto"/>
          <w:lang w:val="en-GB"/>
        </w:rPr>
        <w:t>232</w:t>
      </w:r>
      <w:r w:rsidRPr="002561EA">
        <w:rPr>
          <w:color w:val="auto"/>
          <w:lang w:val="en-GB"/>
        </w:rPr>
        <w:t xml:space="preserve">), thanks to improved working capital. Working capital decreased to EUR </w:t>
      </w:r>
      <w:r w:rsidRPr="002561EA">
        <w:rPr>
          <w:color w:val="auto"/>
          <w:lang w:val="en-GB"/>
        </w:rPr>
        <w:t>257</w:t>
      </w:r>
      <w:r w:rsidRPr="002561EA">
        <w:rPr>
          <w:color w:val="auto"/>
          <w:lang w:val="en-GB"/>
        </w:rPr>
        <w:t xml:space="preserve"> </w:t>
      </w:r>
      <w:r w:rsidRPr="002561EA">
        <w:rPr>
          <w:color w:val="auto"/>
          <w:lang w:val="en-GB"/>
        </w:rPr>
        <w:t>million at the end of the year (</w:t>
      </w:r>
      <w:r w:rsidRPr="002561EA">
        <w:rPr>
          <w:color w:val="auto"/>
          <w:lang w:val="en-GB"/>
        </w:rPr>
        <w:t>732</w:t>
      </w:r>
      <w:r w:rsidRPr="002561EA">
        <w:rPr>
          <w:color w:val="auto"/>
          <w:lang w:val="en-GB"/>
        </w:rPr>
        <w:t xml:space="preserve">), </w:t>
      </w:r>
      <w:bookmarkStart w:id="13" w:name="_Hlk61526903"/>
      <w:r w:rsidRPr="002561EA">
        <w:rPr>
          <w:color w:val="auto"/>
          <w:lang w:val="en-GB"/>
        </w:rPr>
        <w:t>driven by lower inventories, as well as by efforts to reduce credit risk through strengthening the collection of receivables.</w:t>
      </w:r>
      <w:bookmarkEnd w:id="13"/>
      <w:r w:rsidRPr="002561EA">
        <w:rPr>
          <w:color w:val="auto"/>
          <w:lang w:val="en-GB"/>
        </w:rPr>
        <w:t xml:space="preserve"> </w:t>
      </w:r>
      <w:r w:rsidRPr="002561EA">
        <w:rPr>
          <w:lang w:val="en-GB"/>
        </w:rPr>
        <w:t xml:space="preserve">Advances received totalled EUR </w:t>
      </w:r>
      <w:r w:rsidRPr="002561EA">
        <w:rPr>
          <w:lang w:val="en-GB"/>
        </w:rPr>
        <w:t>452</w:t>
      </w:r>
      <w:r w:rsidRPr="00EA1C4A">
        <w:rPr>
          <w:lang w:val="en-GB"/>
        </w:rPr>
        <w:t xml:space="preserve"> million (</w:t>
      </w:r>
      <w:r w:rsidRPr="00EA1C4A">
        <w:rPr>
          <w:lang w:val="en-GB"/>
        </w:rPr>
        <w:t>452</w:t>
      </w:r>
      <w:r w:rsidRPr="00EA1C4A">
        <w:rPr>
          <w:lang w:val="en-GB"/>
        </w:rPr>
        <w:t xml:space="preserve">). Additionally, EUR </w:t>
      </w:r>
      <w:r w:rsidRPr="00EA1C4A">
        <w:rPr>
          <w:lang w:val="en-GB"/>
        </w:rPr>
        <w:t>38</w:t>
      </w:r>
      <w:r w:rsidRPr="00EA1C4A">
        <w:rPr>
          <w:lang w:val="en-GB"/>
        </w:rPr>
        <w:t xml:space="preserve"> million of advances pertained to assets held for sale.</w:t>
      </w:r>
    </w:p>
    <w:p w:rsidR="00F24723" w:rsidRPr="00EA1C4A" w:rsidP="00F24723" w14:paraId="26DC83DA" w14:textId="77777777">
      <w:pPr>
        <w:pStyle w:val="Wnormal0"/>
        <w:spacing w:after="0" w:line="20" w:lineRule="exact"/>
        <w:rPr>
          <w:lang w:val="en-GB"/>
        </w:rPr>
      </w:pPr>
      <w:r>
        <w:rPr>
          <w:lang w:val="en-GB"/>
        </w:rPr>
        <w:br w:type="column"/>
      </w:r>
    </w:p>
    <w:tbl>
      <w:tblPr>
        <w:tblStyle w:val="TableGrid"/>
        <w:tblpPr w:leftFromText="180" w:rightFromText="180" w:vertAnchor="text" w:horzAnchor="margin" w:tblpXSpec="right" w:tblpY="2296"/>
        <w:tblW w:w="4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4739"/>
      </w:tblGrid>
      <w:tr w14:paraId="6022D814" w14:textId="77777777" w:rsidTr="00B35C51">
        <w:tblPrEx>
          <w:tblW w:w="4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1268"/>
        </w:trPr>
        <w:tc>
          <w:tcPr>
            <w:tcW w:w="4739" w:type="dxa"/>
            <w:tcMar>
              <w:top w:w="0" w:type="dxa"/>
              <w:left w:w="0" w:type="dxa"/>
              <w:bottom w:w="0" w:type="dxa"/>
              <w:right w:w="0" w:type="dxa"/>
            </w:tcMar>
          </w:tcPr>
          <w:p w:rsidR="0065079C" w:rsidRPr="00A63537" w:rsidP="00B35C51" w14:paraId="74BB040E" w14:textId="77777777">
            <w:pPr>
              <w:pStyle w:val="Subtitle"/>
            </w:pPr>
            <w:r w:rsidRPr="00A63537">
              <w:t>Maturity profiles of long-term loans</w:t>
            </w:r>
          </w:p>
          <w:p w:rsidR="007B611F" w:rsidRPr="001120F1" w:rsidP="00B35C51" w14:paraId="45978053" w14:textId="2BE93BE9">
            <w:pPr>
              <w:suppressAutoHyphens/>
              <w:spacing w:after="240" w:line="276" w:lineRule="auto"/>
              <w:rPr>
                <w:rFonts w:ascii="Arial" w:hAnsi="Arial" w:cs="Arial"/>
                <w:spacing w:val="2"/>
                <w:sz w:val="16"/>
                <w:szCs w:val="16"/>
                <w:lang w:val="en-GB"/>
              </w:rPr>
            </w:pPr>
            <w:r>
              <w:drawing>
                <wp:inline>
                  <wp:extent cx="3024184" cy="1872000"/>
                  <wp:docPr id="2103364882" name="Chart_Long-term loans_E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14:paraId="5DA49F90" w14:textId="77777777" w:rsidTr="00B35C51">
        <w:tblPrEx>
          <w:tblW w:w="4739" w:type="dxa"/>
          <w:tblCellMar>
            <w:left w:w="0" w:type="dxa"/>
            <w:right w:w="0" w:type="dxa"/>
          </w:tblCellMar>
          <w:tblLook w:val="04A0"/>
        </w:tblPrEx>
        <w:trPr>
          <w:trHeight w:val="1313"/>
        </w:trPr>
        <w:tc>
          <w:tcPr>
            <w:tcW w:w="4739" w:type="dxa"/>
            <w:tcMar>
              <w:top w:w="0" w:type="dxa"/>
              <w:left w:w="0" w:type="dxa"/>
              <w:bottom w:w="0" w:type="dxa"/>
              <w:right w:w="0" w:type="dxa"/>
            </w:tcMar>
          </w:tcPr>
          <w:p w:rsidR="0065079C" w:rsidRPr="001120F1" w:rsidP="00B35C51" w14:paraId="33C84EA2" w14:textId="77777777">
            <w:pPr>
              <w:pStyle w:val="Wnormal0"/>
              <w:spacing w:after="20"/>
              <w:rPr>
                <w:b/>
                <w:bCs/>
                <w:color w:val="FF7321"/>
                <w:sz w:val="16"/>
                <w:lang w:val="en-GB"/>
              </w:rPr>
            </w:pPr>
          </w:p>
          <w:p w:rsidR="0065079C" w:rsidRPr="001120F1" w:rsidP="00E9658F" w14:paraId="267D6EC0" w14:textId="77777777">
            <w:pPr>
              <w:pStyle w:val="Wnormal0"/>
              <w:spacing w:after="0" w:line="240" w:lineRule="auto"/>
              <w:rPr>
                <w:b/>
                <w:bCs/>
                <w:color w:val="FF7321"/>
                <w:sz w:val="8"/>
                <w:szCs w:val="8"/>
                <w:lang w:val="en-GB"/>
              </w:rPr>
            </w:pPr>
          </w:p>
          <w:p w:rsidR="0065079C" w:rsidRPr="00A63537" w:rsidP="00B35C51" w14:paraId="350E83AF" w14:textId="77777777">
            <w:pPr>
              <w:pStyle w:val="Subtitle"/>
            </w:pPr>
            <w:r w:rsidRPr="00A63537">
              <w:t xml:space="preserve">Gearing </w:t>
            </w:r>
          </w:p>
          <w:p w:rsidR="0065079C" w:rsidRPr="00A63537" w:rsidP="00B35C51" w14:paraId="08DE9271" w14:textId="77777777">
            <w:pPr>
              <w:suppressAutoHyphens/>
              <w:spacing w:after="240" w:line="276" w:lineRule="auto"/>
              <w:rPr>
                <w:rFonts w:ascii="Arial" w:hAnsi="Arial" w:cs="Arial"/>
                <w:spacing w:val="2"/>
                <w:sz w:val="16"/>
                <w:szCs w:val="16"/>
                <w:lang w:val="fi-FI"/>
              </w:rPr>
            </w:pPr>
            <w:r>
              <w:drawing>
                <wp:inline>
                  <wp:extent cx="3050645" cy="1620000"/>
                  <wp:docPr id="3" name="Chart_Gearing"/>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A1C4A" w:rsidP="00EA1C4A" w14:paraId="0F8A3F17" w14:textId="77777777">
      <w:pPr>
        <w:pStyle w:val="Wnormal0"/>
        <w:rPr>
          <w:color w:val="auto"/>
          <w:lang w:val="en-GB"/>
        </w:rPr>
      </w:pPr>
      <w:r w:rsidRPr="00EA1C4A">
        <w:rPr>
          <w:lang w:val="en-GB"/>
        </w:rPr>
        <w:t xml:space="preserve">Wärtsilä aims to </w:t>
      </w:r>
      <w:r w:rsidRPr="00EA1C4A">
        <w:rPr>
          <w:lang w:val="en-GB"/>
        </w:rPr>
        <w:t>ensure sufficient liquidity at all times</w:t>
      </w:r>
      <w:r w:rsidRPr="00EA1C4A">
        <w:rPr>
          <w:lang w:val="en-GB"/>
        </w:rPr>
        <w:t xml:space="preserve"> through efficient cash management and by maintaining the availability of sufficient committed and uncommitted credit lines. Refinancing risk is managed by having a balanced and sufficiently long loa</w:t>
      </w:r>
      <w:r w:rsidRPr="00EA1C4A">
        <w:rPr>
          <w:lang w:val="en-GB"/>
        </w:rPr>
        <w:t xml:space="preserve">n </w:t>
      </w:r>
      <w:r w:rsidRPr="002561EA">
        <w:rPr>
          <w:lang w:val="en-GB"/>
        </w:rPr>
        <w:t xml:space="preserve">portfolio. </w:t>
      </w:r>
      <w:r w:rsidRPr="002561EA">
        <w:rPr>
          <w:color w:val="auto"/>
          <w:lang w:val="en-GB"/>
        </w:rPr>
        <w:t>Wärtsilä has focused on further strengthening its liquidity reserves during the year in response to the COVID-19 pandemic. Measures</w:t>
      </w:r>
      <w:r w:rsidRPr="00356BA1">
        <w:rPr>
          <w:color w:val="auto"/>
          <w:lang w:val="en-GB"/>
        </w:rPr>
        <w:t xml:space="preserve"> taken include the extension of revolving credit facilities and the negotiation of additional loan facilities.</w:t>
      </w:r>
    </w:p>
    <w:p w:rsidR="00F24723" w:rsidRPr="00356BA1" w:rsidP="00F24723" w14:paraId="45A31EC9" w14:textId="77777777">
      <w:pPr>
        <w:pStyle w:val="Wnormal0"/>
        <w:spacing w:after="0" w:line="20" w:lineRule="exact"/>
        <w:rPr>
          <w:color w:val="auto"/>
          <w:lang w:val="en-GB"/>
        </w:rPr>
      </w:pPr>
      <w:r>
        <w:rPr>
          <w:color w:val="auto"/>
          <w:lang w:val="en-GB"/>
        </w:rPr>
        <w:br w:type="column"/>
      </w:r>
    </w:p>
    <w:p w:rsidR="00EA1C4A" w:rsidRPr="00EA1C4A" w:rsidP="00EA1C4A" w14:paraId="1DE0DF29" w14:textId="77777777">
      <w:pPr>
        <w:pStyle w:val="Wnormal0"/>
        <w:rPr>
          <w:lang w:val="en-GB"/>
        </w:rPr>
      </w:pPr>
      <w:r w:rsidRPr="00EA1C4A">
        <w:rPr>
          <w:lang w:val="en-GB"/>
        </w:rPr>
        <w:t xml:space="preserve">Cash and cash equivalents amounted to EUR </w:t>
      </w:r>
      <w:r w:rsidRPr="00EA1C4A">
        <w:rPr>
          <w:lang w:val="en-GB"/>
        </w:rPr>
        <w:t>919</w:t>
      </w:r>
      <w:r w:rsidRPr="00EA1C4A">
        <w:rPr>
          <w:lang w:val="en-GB"/>
        </w:rPr>
        <w:t xml:space="preserve"> million at the end of the </w:t>
      </w:r>
      <w:r>
        <w:rPr>
          <w:lang w:val="en-GB"/>
        </w:rPr>
        <w:t>year</w:t>
      </w:r>
      <w:r w:rsidRPr="00EA1C4A">
        <w:rPr>
          <w:lang w:val="en-GB"/>
        </w:rPr>
        <w:t xml:space="preserve"> (</w:t>
      </w:r>
      <w:r w:rsidRPr="00EA1C4A">
        <w:rPr>
          <w:lang w:val="en-GB"/>
        </w:rPr>
        <w:t>358</w:t>
      </w:r>
      <w:r w:rsidRPr="00EA1C4A">
        <w:rPr>
          <w:lang w:val="en-GB"/>
        </w:rPr>
        <w:t xml:space="preserve">). Additionally, EUR </w:t>
      </w:r>
      <w:r w:rsidRPr="00EA1C4A">
        <w:rPr>
          <w:lang w:val="en-GB"/>
        </w:rPr>
        <w:t>14</w:t>
      </w:r>
      <w:r w:rsidRPr="00EA1C4A">
        <w:rPr>
          <w:lang w:val="en-GB"/>
        </w:rPr>
        <w:t xml:space="preserve"> million of cash and cash equivalents pertained to assets held</w:t>
      </w:r>
      <w:r w:rsidRPr="00EA1C4A">
        <w:rPr>
          <w:lang w:val="en-GB"/>
        </w:rPr>
        <w:t xml:space="preserve"> for sale</w:t>
      </w:r>
      <w:r>
        <w:rPr>
          <w:lang w:val="en-GB"/>
        </w:rPr>
        <w:t xml:space="preserve"> </w:t>
      </w:r>
      <w:r w:rsidRPr="00A26504">
        <w:rPr>
          <w:lang w:val="en-GB"/>
        </w:rPr>
        <w:t>(</w:t>
      </w:r>
      <w:r>
        <w:rPr>
          <w:lang w:val="en-GB"/>
        </w:rPr>
        <w:t>11</w:t>
      </w:r>
      <w:r w:rsidRPr="00A26504">
        <w:rPr>
          <w:lang w:val="en-GB"/>
        </w:rPr>
        <w:t>)</w:t>
      </w:r>
      <w:r w:rsidRPr="00EA1C4A">
        <w:rPr>
          <w:lang w:val="en-GB"/>
        </w:rPr>
        <w:t xml:space="preserve">. Unutilised committed credit facilities totalled EUR </w:t>
      </w:r>
      <w:r w:rsidRPr="00356BA1">
        <w:rPr>
          <w:color w:val="auto"/>
          <w:lang w:val="en-GB"/>
        </w:rPr>
        <w:t xml:space="preserve">660 </w:t>
      </w:r>
      <w:r w:rsidRPr="00EA1C4A">
        <w:rPr>
          <w:lang w:val="en-GB"/>
        </w:rPr>
        <w:t>million (</w:t>
      </w:r>
      <w:r w:rsidRPr="00EA1C4A">
        <w:rPr>
          <w:lang w:val="en-GB"/>
        </w:rPr>
        <w:t>640</w:t>
      </w:r>
      <w:r w:rsidRPr="00EA1C4A">
        <w:rPr>
          <w:lang w:val="en-GB"/>
        </w:rPr>
        <w:t>).</w:t>
      </w:r>
    </w:p>
    <w:p w:rsidR="00EA1C4A" w:rsidRPr="00EA1C4A" w:rsidP="00EA1C4A" w14:paraId="56DDEF13" w14:textId="77777777">
      <w:pPr>
        <w:pStyle w:val="Wnormal0"/>
        <w:rPr>
          <w:lang w:val="en-GB"/>
        </w:rPr>
      </w:pPr>
      <w:r w:rsidRPr="00EA1C4A">
        <w:rPr>
          <w:lang w:val="en-GB"/>
        </w:rPr>
        <w:t xml:space="preserve">Wärtsilä had interest-bearing debt totalling EUR </w:t>
      </w:r>
      <w:r w:rsidRPr="00EA1C4A">
        <w:rPr>
          <w:lang w:val="en-GB"/>
        </w:rPr>
        <w:t>1,327</w:t>
      </w:r>
      <w:r w:rsidRPr="00EA1C4A">
        <w:rPr>
          <w:lang w:val="en-GB"/>
        </w:rPr>
        <w:t xml:space="preserve"> million at the end of the </w:t>
      </w:r>
      <w:r>
        <w:rPr>
          <w:lang w:val="en-GB"/>
        </w:rPr>
        <w:t>year</w:t>
      </w:r>
      <w:r w:rsidRPr="00EA1C4A">
        <w:rPr>
          <w:lang w:val="en-GB"/>
        </w:rPr>
        <w:t xml:space="preserve"> (</w:t>
      </w:r>
      <w:r w:rsidRPr="00EA1C4A">
        <w:rPr>
          <w:lang w:val="en-GB"/>
        </w:rPr>
        <w:t>1,096</w:t>
      </w:r>
      <w:r w:rsidRPr="00EA1C4A">
        <w:rPr>
          <w:lang w:val="en-GB"/>
        </w:rPr>
        <w:t xml:space="preserve">). The total amount of short-term debt maturing within the next 12 months was EUR </w:t>
      </w:r>
      <w:r w:rsidRPr="00EA1C4A">
        <w:rPr>
          <w:lang w:val="en-GB"/>
        </w:rPr>
        <w:t>198</w:t>
      </w:r>
      <w:r w:rsidRPr="00EA1C4A">
        <w:rPr>
          <w:lang w:val="en-GB"/>
        </w:rPr>
        <w:t xml:space="preserve"> million. Long-term loans amounted t</w:t>
      </w:r>
      <w:r w:rsidRPr="00EA1C4A">
        <w:rPr>
          <w:lang w:val="en-GB"/>
        </w:rPr>
        <w:t xml:space="preserve">o EUR </w:t>
      </w:r>
      <w:r w:rsidRPr="00EA1C4A">
        <w:rPr>
          <w:lang w:val="en-GB"/>
        </w:rPr>
        <w:t>1,129</w:t>
      </w:r>
      <w:r w:rsidRPr="00EA1C4A">
        <w:rPr>
          <w:lang w:val="en-GB"/>
        </w:rPr>
        <w:t xml:space="preserve"> million.</w:t>
      </w:r>
    </w:p>
    <w:p w:rsidR="000C6BA7" w:rsidRPr="007D14D7" w:rsidP="007D14D7" w14:paraId="1B299B2C" w14:textId="77777777">
      <w:pPr>
        <w:pStyle w:val="Wnormal0"/>
        <w:rPr>
          <w:lang w:val="en-GB"/>
        </w:rPr>
      </w:pPr>
      <w:r w:rsidRPr="00EA1C4A">
        <w:rPr>
          <w:lang w:val="en-GB"/>
        </w:rPr>
        <w:t xml:space="preserve">Net interest-bearing debt totalled EUR </w:t>
      </w:r>
      <w:r w:rsidRPr="00EA1C4A">
        <w:rPr>
          <w:lang w:val="en-GB"/>
        </w:rPr>
        <w:t>394</w:t>
      </w:r>
      <w:r w:rsidRPr="00EA1C4A">
        <w:rPr>
          <w:lang w:val="en-GB"/>
        </w:rPr>
        <w:t xml:space="preserve"> million (</w:t>
      </w:r>
      <w:r w:rsidRPr="00EA1C4A">
        <w:rPr>
          <w:lang w:val="en-GB"/>
        </w:rPr>
        <w:t>726</w:t>
      </w:r>
      <w:r w:rsidRPr="00EA1C4A">
        <w:rPr>
          <w:lang w:val="en-GB"/>
        </w:rPr>
        <w:t xml:space="preserve">). Gearing was </w:t>
      </w:r>
      <w:r w:rsidRPr="00EA1C4A">
        <w:rPr>
          <w:lang w:val="en-GB"/>
        </w:rPr>
        <w:t>0.18</w:t>
      </w:r>
      <w:r w:rsidRPr="00EA1C4A">
        <w:rPr>
          <w:lang w:val="en-GB"/>
        </w:rPr>
        <w:t xml:space="preserve"> (</w:t>
      </w:r>
      <w:r w:rsidRPr="00EA1C4A">
        <w:rPr>
          <w:lang w:val="en-GB"/>
        </w:rPr>
        <w:t>0.30</w:t>
      </w:r>
      <w:r w:rsidRPr="00EA1C4A">
        <w:rPr>
          <w:lang w:val="en-GB"/>
        </w:rPr>
        <w:t xml:space="preserve">), while the solvency ratio was </w:t>
      </w:r>
      <w:r w:rsidRPr="00EA1C4A">
        <w:rPr>
          <w:lang w:val="en-GB"/>
        </w:rPr>
        <w:t>38.1</w:t>
      </w:r>
      <w:r w:rsidRPr="00EA1C4A">
        <w:rPr>
          <w:lang w:val="en-GB"/>
        </w:rPr>
        <w:t>% (</w:t>
      </w:r>
      <w:r w:rsidRPr="00EA1C4A">
        <w:rPr>
          <w:lang w:val="en-GB"/>
        </w:rPr>
        <w:t>40.8</w:t>
      </w:r>
      <w:r w:rsidRPr="00EA1C4A">
        <w:rPr>
          <w:lang w:val="en-GB"/>
        </w:rPr>
        <w:t xml:space="preserve">). Equity per share was </w:t>
      </w:r>
      <w:r w:rsidRPr="00EA1C4A">
        <w:rPr>
          <w:lang w:val="en-GB"/>
        </w:rPr>
        <w:t>3.68</w:t>
      </w:r>
      <w:r w:rsidRPr="00EA1C4A">
        <w:rPr>
          <w:lang w:val="en-GB"/>
        </w:rPr>
        <w:t xml:space="preserve"> euro (</w:t>
      </w:r>
      <w:r w:rsidRPr="00EA1C4A">
        <w:rPr>
          <w:lang w:val="en-GB"/>
        </w:rPr>
        <w:t>4.05</w:t>
      </w:r>
      <w:r w:rsidRPr="00EA1C4A">
        <w:rPr>
          <w:lang w:val="en-GB"/>
        </w:rPr>
        <w:t>).</w:t>
      </w:r>
    </w:p>
    <w:p w:rsidR="00147C77" w:rsidRPr="00C769C8" w:rsidP="003D701D" w14:paraId="5B4D9E45" w14:textId="77777777">
      <w:pPr>
        <w:pStyle w:val="WHeading3"/>
      </w:pPr>
      <w:bookmarkStart w:id="14" w:name="RG_MARKER_4013"/>
      <w:r w:rsidRPr="00C769C8">
        <w:t>Capital expenditure</w:t>
      </w:r>
      <w:bookmarkEnd w:id="14"/>
    </w:p>
    <w:p w:rsidR="00C769C8" w:rsidRPr="00C769C8" w:rsidP="00C769C8" w14:paraId="730FEA1C" w14:textId="5B5439B3">
      <w:pPr>
        <w:pStyle w:val="Wnormal0"/>
        <w:spacing w:after="240" w:line="276" w:lineRule="auto"/>
        <w:rPr>
          <w:spacing w:val="2"/>
          <w:sz w:val="17"/>
          <w:szCs w:val="17"/>
          <w:lang w:val="en-GB" w:bidi="ar-TN"/>
        </w:rPr>
      </w:pPr>
      <w:r w:rsidRPr="00C769C8">
        <w:rPr>
          <w:spacing w:val="2"/>
          <w:sz w:val="17"/>
          <w:szCs w:val="17"/>
          <w:lang w:val="en-GB" w:bidi="ar-TN"/>
        </w:rPr>
        <w:t xml:space="preserve">Capital expenditure related to intangible assets and property, plant, and equipment amounted to EUR </w:t>
      </w:r>
      <w:r w:rsidRPr="00C769C8">
        <w:rPr>
          <w:spacing w:val="2"/>
          <w:sz w:val="17"/>
          <w:szCs w:val="17"/>
          <w:lang w:val="en-GB" w:bidi="ar-TN"/>
        </w:rPr>
        <w:t>115</w:t>
      </w:r>
      <w:r w:rsidRPr="00C769C8">
        <w:rPr>
          <w:spacing w:val="2"/>
          <w:sz w:val="17"/>
          <w:szCs w:val="17"/>
          <w:lang w:val="en-GB" w:bidi="ar-TN"/>
        </w:rPr>
        <w:t xml:space="preserve"> million (</w:t>
      </w:r>
      <w:r w:rsidRPr="00C769C8">
        <w:rPr>
          <w:spacing w:val="2"/>
          <w:sz w:val="17"/>
          <w:szCs w:val="17"/>
          <w:lang w:val="en-GB" w:bidi="ar-TN"/>
        </w:rPr>
        <w:t>116</w:t>
      </w:r>
      <w:r w:rsidRPr="00C769C8">
        <w:rPr>
          <w:spacing w:val="2"/>
          <w:sz w:val="17"/>
          <w:szCs w:val="17"/>
          <w:lang w:val="en-GB" w:bidi="ar-TN"/>
        </w:rPr>
        <w:t xml:space="preserve">) in </w:t>
      </w:r>
      <w:r w:rsidRPr="00FD48C8">
        <w:rPr>
          <w:spacing w:val="2"/>
          <w:sz w:val="17"/>
          <w:szCs w:val="17"/>
          <w:lang w:val="en-GB" w:bidi="ar-TN"/>
        </w:rPr>
        <w:t>2020</w:t>
      </w:r>
      <w:r w:rsidRPr="00C769C8">
        <w:rPr>
          <w:spacing w:val="2"/>
          <w:sz w:val="17"/>
          <w:szCs w:val="17"/>
          <w:lang w:val="en-GB" w:bidi="ar-TN"/>
        </w:rPr>
        <w:t>. Capital expenditure</w:t>
      </w:r>
      <w:r w:rsidRPr="00C769C8">
        <w:rPr>
          <w:spacing w:val="2"/>
          <w:sz w:val="17"/>
          <w:szCs w:val="17"/>
          <w:lang w:val="en-GB" w:bidi="ar-TN"/>
        </w:rPr>
        <w:t xml:space="preserve"> related to acquisitions and investments in securities totalled EUR </w:t>
      </w:r>
      <w:r w:rsidRPr="00C769C8">
        <w:rPr>
          <w:spacing w:val="2"/>
          <w:sz w:val="17"/>
          <w:szCs w:val="17"/>
          <w:lang w:val="en-GB" w:bidi="ar-TN"/>
        </w:rPr>
        <w:t>2</w:t>
      </w:r>
      <w:r w:rsidRPr="00C769C8">
        <w:rPr>
          <w:spacing w:val="2"/>
          <w:sz w:val="17"/>
          <w:szCs w:val="17"/>
          <w:lang w:val="en-GB" w:bidi="ar-TN"/>
        </w:rPr>
        <w:t xml:space="preserve"> million (</w:t>
      </w:r>
      <w:r w:rsidRPr="00C769C8">
        <w:rPr>
          <w:spacing w:val="2"/>
          <w:sz w:val="17"/>
          <w:szCs w:val="17"/>
          <w:lang w:val="en-GB" w:bidi="ar-TN"/>
        </w:rPr>
        <w:t>6</w:t>
      </w:r>
      <w:r w:rsidRPr="00C769C8">
        <w:rPr>
          <w:spacing w:val="2"/>
          <w:sz w:val="17"/>
          <w:szCs w:val="17"/>
          <w:lang w:val="en-GB" w:bidi="ar-TN"/>
        </w:rPr>
        <w:t xml:space="preserve">). Depreciation, amortisation, and impairment amounted to EUR </w:t>
      </w:r>
      <w:r w:rsidRPr="00C769C8">
        <w:rPr>
          <w:spacing w:val="2"/>
          <w:sz w:val="17"/>
          <w:szCs w:val="17"/>
          <w:lang w:val="en-GB" w:bidi="ar-TN"/>
        </w:rPr>
        <w:t>174</w:t>
      </w:r>
      <w:r w:rsidRPr="00C769C8">
        <w:rPr>
          <w:spacing w:val="2"/>
          <w:sz w:val="17"/>
          <w:szCs w:val="17"/>
          <w:lang w:val="en-GB" w:bidi="ar-TN"/>
        </w:rPr>
        <w:t xml:space="preserve"> million (</w:t>
      </w:r>
      <w:r w:rsidRPr="00C769C8">
        <w:rPr>
          <w:spacing w:val="2"/>
          <w:sz w:val="17"/>
          <w:szCs w:val="17"/>
          <w:lang w:val="en-GB" w:bidi="ar-TN"/>
        </w:rPr>
        <w:t>180</w:t>
      </w:r>
      <w:r w:rsidRPr="00C769C8">
        <w:rPr>
          <w:spacing w:val="2"/>
          <w:sz w:val="17"/>
          <w:szCs w:val="17"/>
          <w:lang w:val="en-GB" w:bidi="ar-TN"/>
        </w:rPr>
        <w:t>).</w:t>
      </w:r>
    </w:p>
    <w:p w:rsidR="000C6E13" w:rsidP="00C769C8" w14:paraId="58321E22" w14:textId="3AFB9383">
      <w:pPr>
        <w:pStyle w:val="Wnormal0"/>
        <w:spacing w:after="240" w:line="276" w:lineRule="auto"/>
        <w:rPr>
          <w:spacing w:val="2"/>
          <w:sz w:val="17"/>
          <w:szCs w:val="17"/>
          <w:lang w:val="en-GB" w:bidi="ar-TN"/>
        </w:rPr>
      </w:pPr>
      <w:r w:rsidRPr="00C769C8">
        <w:rPr>
          <w:spacing w:val="2"/>
          <w:sz w:val="17"/>
          <w:szCs w:val="17"/>
          <w:lang w:val="en-GB" w:bidi="ar-TN"/>
        </w:rPr>
        <w:t>In 2021, capital expenditure related to intangible assets and property, plant, and equipment is expected to be below depreciation, amortisation, and impairment.</w:t>
      </w:r>
    </w:p>
    <w:p w:rsidR="00F828C3" w:rsidRPr="00C769C8" w:rsidP="00F828C3" w14:paraId="6056DD68" w14:textId="7F78D04B">
      <w:pPr>
        <w:pStyle w:val="Wnormal0"/>
        <w:spacing w:after="0" w:line="20" w:lineRule="exact"/>
        <w:rPr>
          <w:spacing w:val="2"/>
          <w:sz w:val="17"/>
          <w:szCs w:val="17"/>
          <w:lang w:val="en-GB" w:bidi="ar-TN"/>
        </w:rPr>
      </w:pPr>
      <w:r>
        <w:rPr>
          <w:spacing w:val="2"/>
          <w:sz w:val="17"/>
          <w:szCs w:val="17"/>
          <w:lang w:val="en-GB" w:bidi="ar-TN"/>
        </w:rPr>
        <w:br w:type="column"/>
      </w:r>
    </w:p>
    <w:tbl>
      <w:tblPr>
        <w:tblStyle w:val="TableGrid"/>
        <w:tblW w:w="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134"/>
      </w:tblGrid>
      <w:tr w14:paraId="04CEB3EB" w14:textId="77777777" w:rsidTr="00627CDB">
        <w:tblPrEx>
          <w:tblW w:w="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1943"/>
        </w:trPr>
        <w:tc>
          <w:tcPr>
            <w:tcW w:w="5134" w:type="dxa"/>
            <w:tcMar>
              <w:top w:w="0" w:type="dxa"/>
              <w:left w:w="0" w:type="dxa"/>
              <w:bottom w:w="0" w:type="dxa"/>
              <w:right w:w="0" w:type="dxa"/>
            </w:tcMar>
          </w:tcPr>
          <w:p w:rsidR="00176CD8" w:rsidRPr="00C769C8" w:rsidP="001C4471" w14:paraId="1A3C13B5" w14:textId="0A7E4255">
            <w:pPr>
              <w:pStyle w:val="Subtitle"/>
              <w:rPr>
                <w:lang w:bidi="ar-TN"/>
              </w:rPr>
            </w:pPr>
            <w:r w:rsidRPr="00C769C8">
              <w:rPr>
                <w:lang w:bidi="ar-TN"/>
              </w:rPr>
              <w:t>Gross capital expenditure</w:t>
            </w:r>
          </w:p>
          <w:p w:rsidR="00771019" w:rsidRPr="00C769C8" w:rsidP="007A070E" w14:paraId="6EB08441" w14:textId="392E2EB2">
            <w:pPr>
              <w:pStyle w:val="Wnormal0"/>
              <w:rPr>
                <w:color w:val="FF7321"/>
                <w:lang w:val="en-GB" w:bidi="ar-TN"/>
              </w:rPr>
            </w:pPr>
            <w:r>
              <w:drawing>
                <wp:inline>
                  <wp:extent cx="3025688" cy="1980000"/>
                  <wp:docPr id="2103364883" name="Chart_Capital expenditure_E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95400D" w:rsidRPr="009509FE" w:rsidP="009E57EC">
      <w:pPr>
        <w:pStyle w:val="WHeading3"/>
      </w:pPr>
      <w:bookmarkStart w:id="15" w:name="RG_MARKER_4956"/>
      <w:r w:rsidRPr="009E57EC">
        <w:t xml:space="preserve">Innovations, </w:t>
      </w:r>
      <w:bookmarkEnd w:id="15"/>
      <w:r w:rsidRPr="009509FE">
        <w:t>research and development</w:t>
      </w:r>
    </w:p>
    <w:p w:rsidR="00202190" w:rsidP="00413AE2">
      <w:pPr>
        <w:pStyle w:val="Wnormal0"/>
      </w:pPr>
      <w:r w:rsidRPr="00F81A47">
        <w:t xml:space="preserve">Wärtsilä is committed to helping minimise the environmental footprint of the maritime and energy industries. Investments in R&amp;D are central to securing Wärtsilä’s future positioning, and will continue despite the </w:t>
      </w:r>
      <w:r w:rsidRPr="00F81A47">
        <w:t>prevailing market uncertainty. Developing the use of alternative, commercially viable, and environmentally friendly fuels for the future is a key focus area of research and development, as is improving the connectivity, efficiency, sustainability, and safe</w:t>
      </w:r>
      <w:r w:rsidRPr="00F81A47">
        <w:t>ty of customer operations through the increased use of digital solutions. With its lifecycle solution</w:t>
      </w:r>
      <w:r>
        <w:t>s</w:t>
      </w:r>
      <w:r w:rsidRPr="00F81A47">
        <w:t xml:space="preserve"> offering, Wärtsilä goes beyond mere maintenance and operation by delivering guaranteed performance based on mutually agreed target levels.</w:t>
      </w:r>
      <w:r>
        <w:t xml:space="preserve"> </w:t>
      </w:r>
      <w:r w:rsidRPr="00202190">
        <w:t>Research and d</w:t>
      </w:r>
      <w:r w:rsidRPr="00202190">
        <w:t xml:space="preserve">evelopment expenditure totalled EUR </w:t>
      </w:r>
      <w:r>
        <w:t>153</w:t>
      </w:r>
      <w:r w:rsidRPr="00202190">
        <w:t xml:space="preserve"> million (</w:t>
      </w:r>
      <w:r>
        <w:t>164</w:t>
      </w:r>
      <w:r w:rsidRPr="00202190">
        <w:t xml:space="preserve">) </w:t>
      </w:r>
      <w:r>
        <w:t xml:space="preserve">in </w:t>
      </w:r>
      <w:r w:rsidR="00101371">
        <w:t>2020</w:t>
      </w:r>
      <w:r w:rsidRPr="00202190">
        <w:t xml:space="preserve">, which represents </w:t>
      </w:r>
      <w:r>
        <w:t>3.3</w:t>
      </w:r>
      <w:r w:rsidRPr="00202190">
        <w:t>% of net sales (</w:t>
      </w:r>
      <w:r>
        <w:t>3.2</w:t>
      </w:r>
      <w:r w:rsidRPr="00202190">
        <w:t xml:space="preserve">). </w:t>
      </w:r>
    </w:p>
    <w:p w:rsidR="00C945D0" w:rsidRPr="009E57EC" w:rsidP="009E57EC">
      <w:pPr>
        <w:pStyle w:val="WHeading4"/>
      </w:pPr>
      <w:r w:rsidRPr="009E57EC">
        <w:t>Marine</w:t>
      </w:r>
    </w:p>
    <w:p w:rsidR="00C945D0" w:rsidRPr="009E57EC" w:rsidP="009E57EC">
      <w:pPr>
        <w:pStyle w:val="Wnormal0"/>
      </w:pPr>
      <w:r w:rsidRPr="009E57EC">
        <w:t xml:space="preserve">In the </w:t>
      </w:r>
      <w:r>
        <w:t>dev</w:t>
      </w:r>
      <w:r>
        <w:t xml:space="preserve">elopment </w:t>
      </w:r>
      <w:r w:rsidRPr="009E57EC">
        <w:t xml:space="preserve">of </w:t>
      </w:r>
      <w:r>
        <w:t xml:space="preserve">viable </w:t>
      </w:r>
      <w:r w:rsidRPr="009E57EC">
        <w:t>future fuels Wärtsilä</w:t>
      </w:r>
      <w:r>
        <w:t>,</w:t>
      </w:r>
      <w:r w:rsidRPr="009E57EC">
        <w:t xml:space="preserve"> in close cooperation with Knutsen OAS Shipping AS, Repsol, and Sustainable Energy Catapult Centre</w:t>
      </w:r>
      <w:r>
        <w:t>,</w:t>
      </w:r>
      <w:r w:rsidRPr="009E57EC">
        <w:t xml:space="preserve"> initiated the world’s first long-term, full-scale testing of ammonia as a fuel in a marine </w:t>
      </w:r>
      <w:r w:rsidR="004058E6">
        <w:t>4</w:t>
      </w:r>
      <w:r w:rsidRPr="009E57EC">
        <w:t>-stroke combustion engi</w:t>
      </w:r>
      <w:r w:rsidRPr="009E57EC">
        <w:t xml:space="preserve">ne </w:t>
      </w:r>
      <w:r w:rsidR="004058E6">
        <w:t>in 2020</w:t>
      </w:r>
      <w:r w:rsidRPr="009E57EC">
        <w:t xml:space="preserve">. The testing is supported by a NOK 20 million grant from the Norwegian Research Council through the DEMO 2000 programme. </w:t>
      </w:r>
    </w:p>
    <w:p w:rsidR="00C945D0" w:rsidRPr="009E57EC" w:rsidP="009E57EC">
      <w:pPr>
        <w:pStyle w:val="Wnormal0"/>
      </w:pPr>
      <w:r w:rsidRPr="009E57EC">
        <w:t>Key developments in the context of portfolio enhancements included the completion of full</w:t>
      </w:r>
      <w:r w:rsidR="004058E6">
        <w:t>-</w:t>
      </w:r>
      <w:r w:rsidRPr="009E57EC">
        <w:t>scale testing of Wärtsilä’s LPG f</w:t>
      </w:r>
      <w:r w:rsidRPr="009E57EC">
        <w:t xml:space="preserve">uel supply system with a full-sized 2-stroke marine engine burning liquid petroleum gas (LPG) as fuel. The tests were completed by retrofitting the system on four very large gas carriers (VLGC) owned by </w:t>
      </w:r>
      <w:r w:rsidR="004058E6">
        <w:t xml:space="preserve">the </w:t>
      </w:r>
      <w:r w:rsidRPr="009E57EC">
        <w:t xml:space="preserve">Norwegian operator BW LPG. In addition, Wärtsilä </w:t>
      </w:r>
      <w:r w:rsidRPr="009E57EC">
        <w:t>launched its FuelFlex Injection Control Unit upgrade solution to meet the requirements of operating RT-flex type 2-stroke diesel engines with both residual and low-viscosity marine fuels. This is particularly relevant in view of the industry’s increasing u</w:t>
      </w:r>
      <w:r w:rsidRPr="009E57EC">
        <w:t>se of low-sulphur-content fuels in order to be compliant with sulphur emission regulations. Wärtsilä also introduced its Compact Reliq reliquefaction plant, designed to reliquefy boil-off gas (BOG) onboard gas carriers and LNG bunker vessels and keep the c</w:t>
      </w:r>
      <w:r w:rsidRPr="009E57EC">
        <w:t>argo cool under all operational conditions. Thanks to its compact design, the system can be installed on existing vessels without extensive modification work. During the year, Wärtsilä also upgraded the power output of the Wärtsilä 31DF dual-fuel engine, f</w:t>
      </w:r>
      <w:r w:rsidRPr="009E57EC">
        <w:t xml:space="preserve">urther heightening the engine’s sustainability factor as a result of lower greenhouse gas emissions, while allowing </w:t>
      </w:r>
      <w:r>
        <w:t xml:space="preserve">a reduction in </w:t>
      </w:r>
      <w:r w:rsidRPr="009E57EC">
        <w:t>both installation and maintenance costs.</w:t>
      </w:r>
    </w:p>
    <w:p w:rsidR="00C945D0" w:rsidRPr="009E57EC" w:rsidP="009E57EC">
      <w:pPr>
        <w:pStyle w:val="Wnormal0"/>
      </w:pPr>
      <w:r w:rsidRPr="009E57EC">
        <w:t>As the shipping industry enters a new era of innovation and unprecedented efficiency</w:t>
      </w:r>
      <w:r w:rsidRPr="009E57EC">
        <w:t>, Wärtsilä is using high levels of connectivity and digitalisation to bring value and optimisation to all marine applications, and</w:t>
      </w:r>
      <w:r w:rsidR="004058E6">
        <w:t xml:space="preserve"> to</w:t>
      </w:r>
      <w:r w:rsidRPr="009E57EC">
        <w:t xml:space="preserve"> enhance</w:t>
      </w:r>
      <w:r w:rsidR="004058E6">
        <w:t xml:space="preserve"> the</w:t>
      </w:r>
      <w:r w:rsidRPr="009E57EC">
        <w:t xml:space="preserve"> efficiency, sustainability</w:t>
      </w:r>
      <w:r w:rsidR="004058E6">
        <w:t>,</w:t>
      </w:r>
      <w:r w:rsidRPr="009E57EC">
        <w:t xml:space="preserve"> and safety of customer operations. Achievements in the field of smart navigation i</w:t>
      </w:r>
      <w:r w:rsidRPr="009E57EC">
        <w:t>ncluded the launch of Navi-Port, a new solution for</w:t>
      </w:r>
      <w:r>
        <w:t xml:space="preserve"> the</w:t>
      </w:r>
      <w:r w:rsidRPr="009E57EC">
        <w:t xml:space="preserve"> seamless exchange of data between ship and shore</w:t>
      </w:r>
      <w:r>
        <w:t>,</w:t>
      </w:r>
      <w:r w:rsidRPr="009E57EC">
        <w:t xml:space="preserve"> enabling just-in-time arrival</w:t>
      </w:r>
      <w:r>
        <w:t>. This was</w:t>
      </w:r>
      <w:r w:rsidRPr="009E57EC">
        <w:t xml:space="preserve"> implemented in collaboration with Carnival Maritime and </w:t>
      </w:r>
      <w:r>
        <w:t xml:space="preserve">the </w:t>
      </w:r>
      <w:r w:rsidRPr="009E57EC">
        <w:t>Hamburg Vessel Coordination Center (HVCC). Moreove</w:t>
      </w:r>
      <w:r w:rsidRPr="009E57EC">
        <w:t xml:space="preserve">r, Wärtsilä Voyage and PSA Marine successfully completed initial sea trials for the ‘IntelliTug’ project in Singapore, </w:t>
      </w:r>
      <w:r>
        <w:t xml:space="preserve">thereby </w:t>
      </w:r>
      <w:r w:rsidRPr="009E57EC">
        <w:t>proving IntelliTug’s capability to avoid a variety of obstacles, including virtual and real-life moving vessels. It was the first</w:t>
      </w:r>
      <w:r w:rsidRPr="009E57EC">
        <w:t xml:space="preserve"> trial to use the </w:t>
      </w:r>
      <w:r w:rsidRPr="004058E6" w:rsidR="004058E6">
        <w:t>Maritime and Port Authority of Singapore</w:t>
      </w:r>
      <w:r w:rsidR="004058E6">
        <w:t>’s</w:t>
      </w:r>
      <w:r w:rsidRPr="004058E6" w:rsidR="004058E6">
        <w:t xml:space="preserve"> </w:t>
      </w:r>
      <w:r w:rsidR="004058E6">
        <w:t>(</w:t>
      </w:r>
      <w:r w:rsidRPr="009E57EC">
        <w:t>MPA</w:t>
      </w:r>
      <w:r w:rsidR="004058E6">
        <w:t>)</w:t>
      </w:r>
      <w:r w:rsidRPr="009E57EC">
        <w:t xml:space="preserve"> </w:t>
      </w:r>
      <w:r w:rsidRPr="004058E6" w:rsidR="004058E6">
        <w:t xml:space="preserve">Maritime Autonomous Surface Ship </w:t>
      </w:r>
      <w:r w:rsidR="004058E6">
        <w:t>(</w:t>
      </w:r>
      <w:r w:rsidRPr="009E57EC">
        <w:t>MASS</w:t>
      </w:r>
      <w:r w:rsidR="004058E6">
        <w:t>)</w:t>
      </w:r>
      <w:r w:rsidRPr="009E57EC">
        <w:t xml:space="preserve"> regulatory sandbox, which </w:t>
      </w:r>
      <w:r>
        <w:t>was</w:t>
      </w:r>
      <w:r w:rsidRPr="009E57EC">
        <w:t xml:space="preserve"> established to facilitate the testing of MASS and other autonomous technologies in a safe and controlled environment wi</w:t>
      </w:r>
      <w:r w:rsidRPr="009E57EC">
        <w:t xml:space="preserve">thin the Port of Singapore. Wärtsilä also successfully trialled </w:t>
      </w:r>
      <w:r>
        <w:t xml:space="preserve">the </w:t>
      </w:r>
      <w:r w:rsidRPr="009E57EC">
        <w:t>Wärtsilä SmartMove Suite, a unique pairing of sensor tech</w:t>
      </w:r>
      <w:r>
        <w:t>nology</w:t>
      </w:r>
      <w:r w:rsidRPr="009E57EC">
        <w:t xml:space="preserve"> with navigation systems for semi-autonomous ship movement. The American Steamship Company became the first to install Wärtsi</w:t>
      </w:r>
      <w:r w:rsidRPr="009E57EC">
        <w:t>lä SmartMove solutions</w:t>
      </w:r>
      <w:r>
        <w:t>, which will be used</w:t>
      </w:r>
      <w:r w:rsidRPr="009E57EC">
        <w:t xml:space="preserve"> for hands-off transit along the Cuyahoga River in Ohio, US</w:t>
      </w:r>
      <w:r>
        <w:t>A</w:t>
      </w:r>
      <w:r w:rsidRPr="009E57EC">
        <w:t xml:space="preserve">. </w:t>
      </w:r>
    </w:p>
    <w:p w:rsidR="00C945D0" w:rsidRPr="009E57EC" w:rsidP="009E57EC">
      <w:pPr>
        <w:pStyle w:val="Wnormal0"/>
      </w:pPr>
      <w:r w:rsidRPr="009E57EC">
        <w:t xml:space="preserve">The year 2020 also saw the launch of a number </w:t>
      </w:r>
      <w:r w:rsidR="0066605E">
        <w:t xml:space="preserve">of </w:t>
      </w:r>
      <w:r w:rsidRPr="009E57EC">
        <w:t>remote support services. These included the global Smart Support Centre service, which is designed to deliver operational support via virtual service engineers to all Wärtsilä Voyage equipment, and the Assured Operations remote support service for Wärtsilä</w:t>
      </w:r>
      <w:r w:rsidRPr="009E57EC">
        <w:t xml:space="preserve"> 4-stroke and 2-stroke engine customers</w:t>
      </w:r>
      <w:r>
        <w:t xml:space="preserve">. This </w:t>
      </w:r>
      <w:r w:rsidRPr="009E57EC">
        <w:t xml:space="preserve">enables technical experts to assess and resolve operational issues via a remote connection between </w:t>
      </w:r>
      <w:r>
        <w:t>seagoing</w:t>
      </w:r>
      <w:r w:rsidRPr="009E57EC">
        <w:t xml:space="preserve"> vessels and Wärtsilä’s Expertise Centres. During the year, Wärtsilä also made the digital predictive m</w:t>
      </w:r>
      <w:r w:rsidRPr="009E57EC">
        <w:t>aintenance product Expert Insight available for 2-stroke engines</w:t>
      </w:r>
      <w:r>
        <w:t>. The company</w:t>
      </w:r>
      <w:r w:rsidRPr="009E57EC">
        <w:t xml:space="preserve"> simultaneously released a minimum viable product for </w:t>
      </w:r>
      <w:r>
        <w:t xml:space="preserve">remote </w:t>
      </w:r>
      <w:r>
        <w:t xml:space="preserve">monitoring of </w:t>
      </w:r>
      <w:r w:rsidRPr="009E57EC">
        <w:t>scrubbers to provide continuous fleet-wide insight into vessel compliance and scrubber utilisation. More</w:t>
      </w:r>
      <w:r w:rsidRPr="009E57EC">
        <w:t xml:space="preserve">over, Wärtsilä Voyage expedited the launch of Wärtsilä’s new cloud </w:t>
      </w:r>
      <w:r w:rsidRPr="009E57EC">
        <w:t xml:space="preserve">simulation platform to enable </w:t>
      </w:r>
      <w:r>
        <w:t xml:space="preserve">maritime academies and </w:t>
      </w:r>
      <w:r w:rsidRPr="009E57EC">
        <w:t xml:space="preserve">seafarer schools to continue training despite the lockdowns and distancing imposed by the </w:t>
      </w:r>
      <w:r w:rsidR="0066605E">
        <w:t>COVID-19</w:t>
      </w:r>
      <w:r w:rsidRPr="009E57EC">
        <w:t xml:space="preserve"> outbreak. </w:t>
      </w:r>
      <w:r w:rsidR="00A62744">
        <w:t>The solution</w:t>
      </w:r>
      <w:r w:rsidRPr="009E57EC" w:rsidR="00A62744">
        <w:t xml:space="preserve"> </w:t>
      </w:r>
      <w:r w:rsidRPr="009E57EC">
        <w:t>was selected b</w:t>
      </w:r>
      <w:r w:rsidRPr="009E57EC">
        <w:t>y</w:t>
      </w:r>
      <w:r w:rsidRPr="0000108E">
        <w:t xml:space="preserve"> </w:t>
      </w:r>
      <w:r w:rsidRPr="009E57EC">
        <w:t>Anglo-Eastern</w:t>
      </w:r>
      <w:r>
        <w:t>,</w:t>
      </w:r>
      <w:r w:rsidRPr="009E57EC">
        <w:t xml:space="preserve"> </w:t>
      </w:r>
      <w:r w:rsidR="0066605E">
        <w:t xml:space="preserve">a </w:t>
      </w:r>
      <w:r w:rsidRPr="009E57EC">
        <w:t>leading ship manage</w:t>
      </w:r>
      <w:r w:rsidR="00A62744">
        <w:t>ment company</w:t>
      </w:r>
      <w:r w:rsidRPr="009E57EC">
        <w:t>, to provide online capacity for the company’s training centres in India, the Philippines</w:t>
      </w:r>
      <w:r w:rsidR="0066605E">
        <w:t>,</w:t>
      </w:r>
      <w:r w:rsidRPr="009E57EC">
        <w:t xml:space="preserve"> and Ukraine. The cloud-based simulators are being used for navigation, engineering, and liquid cargo handling train</w:t>
      </w:r>
      <w:r w:rsidRPr="009E57EC">
        <w:t>ing.</w:t>
      </w:r>
    </w:p>
    <w:p w:rsidR="00C945D0" w:rsidRPr="009E57EC" w:rsidP="009E57EC">
      <w:pPr>
        <w:pStyle w:val="WHeading4"/>
      </w:pPr>
      <w:r w:rsidRPr="009E57EC">
        <w:t>Energy</w:t>
      </w:r>
    </w:p>
    <w:p w:rsidR="00C945D0" w:rsidP="009E57EC">
      <w:pPr>
        <w:pStyle w:val="Wnormal0"/>
      </w:pPr>
      <w:r>
        <w:t xml:space="preserve">In line with </w:t>
      </w:r>
      <w:r w:rsidR="00A0126B">
        <w:t>it</w:t>
      </w:r>
      <w:r>
        <w:t>s aim to lead the transition towards a 100% renewable energy future, Wärtsilä launched the Energy Transition Lab, an open-data platform for the energy industry to understand the impact of greater utilisation of renewable energy a</w:t>
      </w:r>
      <w:r>
        <w:t>nd the effects of COVID-19, and help accelerate the energy transition. The tool provides detailed data on electricity generation, demand, and pricing for the EU countries and the UK. It allows users to model how systems could operate in the future with mor</w:t>
      </w:r>
      <w:r>
        <w:t>e renewables, helping to pinpoint problem areas and highlighting where to focus policies and investments.</w:t>
      </w:r>
    </w:p>
    <w:p w:rsidR="00C945D0" w:rsidP="009E57EC">
      <w:pPr>
        <w:pStyle w:val="Wnormal0"/>
      </w:pPr>
      <w:r>
        <w:t>Key achievements in the advancement of engine technology included Wärtsilä’s highly efficient 12 MWe Wärtsilä 31SG gas-fuelled generating set being aw</w:t>
      </w:r>
      <w:r>
        <w:t>arded type certification by the classification society DNV GL. This is globally the largest synchronous generating set of this technology to have been awarded the unit certificate after full-scale testing. The certification verifies the design and engineer</w:t>
      </w:r>
      <w:r>
        <w:t>ing standards as being in full compliance with Germany’s grid code requirements, the first country in Europe to have implemented guidelines for grid code compliance, although other countries have already or are in the process of requiring similar complianc</w:t>
      </w:r>
      <w:r>
        <w:t>e. Wärtsilä also announced during the year that it is developing the combustion process in its gas engines to enable them</w:t>
      </w:r>
      <w:r w:rsidR="00B44B4D">
        <w:t xml:space="preserve"> over time</w:t>
      </w:r>
      <w:r>
        <w:t xml:space="preserve"> to burn 100% hydrogen fuel. Wärtsilä has researched hydrogen as a fuel for 20 years, and has tested its engines with blends </w:t>
      </w:r>
      <w:r>
        <w:t>of up to 60% hydrogen and 40% natural gas. This development is part of the company’s strategy to future-proof its engine technology in line with the global trend towards decarbonisation of the energy and marine markets. In addition to hydrogen, other poten</w:t>
      </w:r>
      <w:r>
        <w:t>tial renewable fuels are being studied for future applications. Wärtsilä engines are already capable of combusting 100% synthetic carbon-neutral methane and methanol.</w:t>
      </w:r>
    </w:p>
    <w:p w:rsidR="00C945D0" w:rsidRPr="00C945D0" w:rsidP="009E57EC">
      <w:pPr>
        <w:pStyle w:val="Wnormal0"/>
      </w:pPr>
      <w:r>
        <w:t>Developments in the area of Power-to-X included funding granted by Business Finland for t</w:t>
      </w:r>
      <w:r>
        <w:t>he X-Ahead project, as well as an agreement with Vantaa Energy Ltd. regarding a joint concept feasibility study for a power-to-gas facility at Vantaa Energy’s waste-to-energy plant in the city of Vantaa. The X-Ahead project aims at developing deep expertis</w:t>
      </w:r>
      <w:r>
        <w:t>e in both the technical and business potential of Power-to-X, which will be used to promote a carbon-neutral economy in Finland. It will also act as a base for defining Wärtsilä’s role in this field as part of the global transition to carbon-neutral soluti</w:t>
      </w:r>
      <w:r>
        <w:t>ons. Vantaa Energy’s power-to-gas facility would produce carbon-neutral synthetic biogas using carbon dioxide emissions and electricity generated at the waste-to-energy plant. The purpose of the joint study is to confirm the optimal size of the project and</w:t>
      </w:r>
      <w:r>
        <w:t xml:space="preserve"> the cost of synthetic biogas for district heating, as well as to understand the boundary conditions for project feasibility.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4771"/>
      </w:tblGrid>
      <w:tr w14:paraId="01F4290E" w14:textId="77777777" w:rsidTr="00051B54">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3108"/>
        </w:trPr>
        <w:tc>
          <w:tcPr>
            <w:tcW w:w="4771" w:type="dxa"/>
            <w:tcMar>
              <w:top w:w="0" w:type="dxa"/>
              <w:left w:w="0" w:type="dxa"/>
              <w:bottom w:w="0" w:type="dxa"/>
              <w:right w:w="0" w:type="dxa"/>
            </w:tcMar>
            <w:hideMark/>
          </w:tcPr>
          <w:p w:rsidR="001165D6" w:rsidP="004E14A3" w14:paraId="7334D139" w14:textId="77777777">
            <w:pPr>
              <w:pStyle w:val="Subtitle"/>
              <w:rPr>
                <w:spacing w:val="0"/>
                <w:sz w:val="16"/>
                <w:szCs w:val="16"/>
              </w:rPr>
            </w:pPr>
            <w:r w:rsidRPr="004E14A3">
              <w:t>Research</w:t>
            </w:r>
            <w:r>
              <w:t xml:space="preserve"> and development expenditure </w:t>
            </w:r>
          </w:p>
          <w:p w:rsidR="001165D6" w14:paraId="4C4B5B23" w14:textId="71B9DC01">
            <w:pPr>
              <w:pStyle w:val="Wnormal0"/>
              <w:spacing w:after="0" w:line="240" w:lineRule="auto"/>
              <w:rPr>
                <w:color w:val="FF7321"/>
                <w:lang w:val="en-GB"/>
              </w:rPr>
            </w:pPr>
            <w:r>
              <w:drawing>
                <wp:inline>
                  <wp:extent cx="3025688" cy="1620000"/>
                  <wp:docPr id="2103364884" name="Chart_Research and develop_E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326EFD" w:rsidRPr="00021514" w:rsidP="00B3056E" w14:paraId="0ED7C1AD" w14:textId="77777777">
      <w:pPr>
        <w:pStyle w:val="Wnormal0"/>
        <w:spacing w:after="0" w:line="20" w:lineRule="exact"/>
        <w:rPr>
          <w:lang w:val="en-GB"/>
        </w:rPr>
      </w:pPr>
      <w:bookmarkStart w:id="16" w:name="RG_MARKER_4119"/>
      <w:bookmarkEnd w:id="16"/>
      <w:r>
        <w:t xml:space="preserve"> </w:t>
      </w:r>
    </w:p>
    <w:p w:rsidR="002A1B16" w:rsidRPr="00F37112" w:rsidP="00F37112">
      <w:pPr>
        <w:pStyle w:val="WHeading3"/>
      </w:pPr>
      <w:bookmarkStart w:id="17" w:name="RG_MARKER_4983"/>
      <w:r w:rsidRPr="00F37112">
        <w:t>Strategic projects</w:t>
      </w:r>
      <w:bookmarkEnd w:id="17"/>
    </w:p>
    <w:p w:rsidR="00040CC2" w:rsidRPr="00040CC2" w:rsidP="000D06B1">
      <w:pPr>
        <w:pStyle w:val="Wnormal0"/>
        <w:rPr>
          <w:color w:val="FF0000"/>
          <w:sz w:val="22"/>
        </w:rPr>
      </w:pPr>
      <w:r w:rsidRPr="00040CC2">
        <w:t xml:space="preserve">In February, Wärtsilä and DNV GL agreed to work together to contribute to the marine industry’s ongoing digital transformation. In particular, the two companies wish to further explore the potential use of digital technologies, collaborative data sharing, </w:t>
      </w:r>
      <w:r w:rsidRPr="00040CC2">
        <w:t xml:space="preserve">and standardisation to enhance </w:t>
      </w:r>
      <w:r>
        <w:t xml:space="preserve">the performance of </w:t>
      </w:r>
      <w:r w:rsidRPr="00040CC2">
        <w:t>existing products and services, and to develop new ones. The project will examine the application of digital technologies in areas such as autonomous ships, advanced remote services, new bridge technologies</w:t>
      </w:r>
      <w:r w:rsidRPr="00040CC2">
        <w:t>, and data sharing. Cyber security will be another natural area of co</w:t>
      </w:r>
      <w:r w:rsidR="00A3603D">
        <w:t>-</w:t>
      </w:r>
      <w:r w:rsidRPr="00040CC2">
        <w:t>operation.</w:t>
      </w:r>
    </w:p>
    <w:p w:rsidR="00040CC2" w:rsidRPr="00040CC2" w:rsidP="000D06B1">
      <w:pPr>
        <w:pStyle w:val="Wnormal0"/>
      </w:pPr>
      <w:r w:rsidRPr="00040CC2">
        <w:t>In March, Wärtsilä together with a consortium of six other industry and academic partners, was awarded EU funding for a major project named SeaTech. The project is aimed at re</w:t>
      </w:r>
      <w:r w:rsidRPr="00040CC2">
        <w:t>ducing fuel consumption and lowering emission levels for shipping by developing ship engine and propulsion systems to enable precise control of the engine and capturing wave energy to produce extra thrust. Wärtsilä also signed a licence and co-operation ag</w:t>
      </w:r>
      <w:r w:rsidRPr="00040CC2">
        <w:t xml:space="preserve">reement covering the future development, sales, and servicing of gate rudders with Kuribayashi Steamship in Japan. As an authorised license holder and partner, Wärtsilä intends to fully integrate gate rudders within its propulsion product designs and will </w:t>
      </w:r>
      <w:r w:rsidRPr="00040CC2">
        <w:t>focus on global markets outside Japan. Gate rudder technology lowers fuel consumption and reduces emissions, while improving manoeuvrability and course stability in both calm and rough seas.</w:t>
      </w:r>
    </w:p>
    <w:p w:rsidR="00040CC2" w:rsidRPr="00040CC2" w:rsidP="000D06B1">
      <w:pPr>
        <w:pStyle w:val="Wnormal0"/>
      </w:pPr>
      <w:r w:rsidRPr="00040CC2">
        <w:t>In June, Wärtsilä joined a global consortium to develop the Mayfl</w:t>
      </w:r>
      <w:r w:rsidRPr="00040CC2">
        <w:t>ower Autonomous ship project, which will enable the world’s first fully autonomous, unmanned vessel to cross the Atlantic. Wärtsilä Voyage will equip the ship with the Wärtsilä RS24 system, a ground-breaking high-speed, high-resolution FMCW K-Band radar de</w:t>
      </w:r>
      <w:r w:rsidRPr="00040CC2">
        <w:t>signed to provide optimised levels of situational awareness, especially in densely populated marine environments. Wärtsilä also joined ING Bank, Engie, and the Port of Rotterdam Authority to form Zero Emission Services B.V. (ZES), an enterprise aimed at ma</w:t>
      </w:r>
      <w:r w:rsidRPr="00040CC2">
        <w:t>king inland waterway shipping more sustainable. The concept is based on the use of replaceable battery containers charged with renewable energy. It will be utilised</w:t>
      </w:r>
      <w:r>
        <w:t>, among others,</w:t>
      </w:r>
      <w:r w:rsidRPr="00040CC2">
        <w:t xml:space="preserve"> by the Heineken beer company and is supported by the Dutch Ministry of Infra</w:t>
      </w:r>
      <w:r w:rsidRPr="00040CC2">
        <w:t>structure and Water Management.</w:t>
      </w:r>
    </w:p>
    <w:p w:rsidR="00040CC2" w:rsidRPr="00040CC2" w:rsidP="000D06B1">
      <w:pPr>
        <w:pStyle w:val="Wnormal0"/>
      </w:pPr>
      <w:r w:rsidRPr="00040CC2">
        <w:t>In July, Wärtsilä joined a global coalition dedicated to accelerating the energy transition in the transport and logistics industries, together with a cluster of market-leading companies representing a broad spectrum of indu</w:t>
      </w:r>
      <w:r w:rsidRPr="00040CC2">
        <w:t>stry stakeholders. The aim of the coalition is to drive the development of energy sources and technologies in order to curb global warming, reduce air pollution, and protect biodiversity. The members will pool their R&amp;D efforts in pursuit of three key goal</w:t>
      </w:r>
      <w:r w:rsidRPr="00040CC2">
        <w:t>s: unlocking a more extensive portfolio of clean energy sources, lowering energy consumption per kilometre-equivalent for transported goods</w:t>
      </w:r>
      <w:r>
        <w:t>,</w:t>
      </w:r>
      <w:r w:rsidRPr="00040CC2">
        <w:t xml:space="preserve"> and eliminating a substantial proportion of </w:t>
      </w:r>
      <w:r>
        <w:t xml:space="preserve">the </w:t>
      </w:r>
      <w:r w:rsidRPr="00040CC2">
        <w:t>harmful emissions being released into the atmosphere.</w:t>
      </w:r>
    </w:p>
    <w:p w:rsidR="00040CC2" w:rsidRPr="00040CC2" w:rsidP="000D06B1">
      <w:pPr>
        <w:pStyle w:val="Wnormal0"/>
      </w:pPr>
      <w:bookmarkStart w:id="18" w:name="_Hlk61336707"/>
      <w:r w:rsidRPr="00040CC2">
        <w:t>In October, W</w:t>
      </w:r>
      <w:r w:rsidRPr="00040CC2">
        <w:t xml:space="preserve">ärtsilä signed a Memorandum of Understanding (MoU) tied to a </w:t>
      </w:r>
      <w:r w:rsidR="00A3603D">
        <w:t>l</w:t>
      </w:r>
      <w:r w:rsidRPr="00040CC2">
        <w:t xml:space="preserve">icense and </w:t>
      </w:r>
      <w:r w:rsidR="00A3603D">
        <w:t>c</w:t>
      </w:r>
      <w:r w:rsidRPr="00040CC2">
        <w:t>o</w:t>
      </w:r>
      <w:r w:rsidR="00A3603D">
        <w:t>-</w:t>
      </w:r>
      <w:r w:rsidRPr="00040CC2">
        <w:t xml:space="preserve">operation agreement with </w:t>
      </w:r>
      <w:r w:rsidR="00A3603D">
        <w:t xml:space="preserve">the </w:t>
      </w:r>
      <w:r w:rsidRPr="00040CC2">
        <w:t xml:space="preserve">UK-based Anemoi Marine Technologies for the future sales and servicing of </w:t>
      </w:r>
      <w:r>
        <w:t>r</w:t>
      </w:r>
      <w:r w:rsidRPr="00040CC2">
        <w:t xml:space="preserve">otor </w:t>
      </w:r>
      <w:r>
        <w:t>s</w:t>
      </w:r>
      <w:r w:rsidRPr="00040CC2">
        <w:t xml:space="preserve">ail solutions to the shipping industry. Rotor </w:t>
      </w:r>
      <w:r>
        <w:t>s</w:t>
      </w:r>
      <w:r w:rsidRPr="00040CC2">
        <w:t>ails are comprised of v</w:t>
      </w:r>
      <w:r w:rsidRPr="00040CC2">
        <w:t>ertical cylinders which, when driven to rotate, harness the renewable power of the wind to propel ships. These highly efficient mechanical sails will provide additional thrust to vessels and deliver significant fuel and emission savings. Wärtsilä will full</w:t>
      </w:r>
      <w:r w:rsidRPr="00040CC2">
        <w:t xml:space="preserve">y integrate Anemoi Marine Technologies’ </w:t>
      </w:r>
      <w:r>
        <w:t>r</w:t>
      </w:r>
      <w:r w:rsidRPr="00040CC2">
        <w:t xml:space="preserve">otor </w:t>
      </w:r>
      <w:r>
        <w:t>s</w:t>
      </w:r>
      <w:r w:rsidRPr="00040CC2">
        <w:t xml:space="preserve">ails within its </w:t>
      </w:r>
      <w:r w:rsidR="00A3603D">
        <w:t>p</w:t>
      </w:r>
      <w:r w:rsidRPr="00040CC2">
        <w:t xml:space="preserve">ropulsion </w:t>
      </w:r>
      <w:r w:rsidR="00A3603D">
        <w:t>b</w:t>
      </w:r>
      <w:r w:rsidRPr="00040CC2">
        <w:t>usiness and promote the solution for both newbuild projects and for retrofitting to existing ships.</w:t>
      </w:r>
    </w:p>
    <w:p w:rsidR="00A34DF5" w:rsidRPr="000D06B1" w:rsidP="000D06B1">
      <w:pPr>
        <w:pStyle w:val="Wnormal0"/>
      </w:pPr>
      <w:r w:rsidRPr="00040CC2">
        <w:t xml:space="preserve">In December, Wärtsilä joined the CHEK project which aims to </w:t>
      </w:r>
      <w:r>
        <w:t>achieve</w:t>
      </w:r>
      <w:r w:rsidRPr="00040CC2">
        <w:t xml:space="preserve"> zero emission</w:t>
      </w:r>
      <w:r>
        <w:t>s</w:t>
      </w:r>
      <w:r w:rsidRPr="00040CC2">
        <w:t xml:space="preserve"> shipping. The project will develop and demonstrate a wind energy optimised bulk carrier</w:t>
      </w:r>
      <w:r>
        <w:t>,</w:t>
      </w:r>
      <w:r w:rsidRPr="00040CC2">
        <w:t xml:space="preserve"> and a hydrogen powered cruise ship equipped with a combination of innovative technologies to reduce greenhouse gas emissions by 99%, achieve at least 50% energy savi</w:t>
      </w:r>
      <w:r w:rsidRPr="00040CC2">
        <w:t>ngs</w:t>
      </w:r>
      <w:r w:rsidR="00CB73BF">
        <w:t>,</w:t>
      </w:r>
      <w:r w:rsidRPr="00040CC2">
        <w:t xml:space="preserve"> and reduce black carbon emissions by over 95%. The CHEK partners are</w:t>
      </w:r>
      <w:r>
        <w:t xml:space="preserve"> the</w:t>
      </w:r>
      <w:r w:rsidRPr="00040CC2">
        <w:t xml:space="preserve"> </w:t>
      </w:r>
      <w:r w:rsidR="00CB73BF">
        <w:t>University</w:t>
      </w:r>
      <w:r w:rsidRPr="00040CC2" w:rsidR="00CB73BF">
        <w:t xml:space="preserve"> </w:t>
      </w:r>
      <w:r w:rsidR="00CB73BF">
        <w:t xml:space="preserve">of </w:t>
      </w:r>
      <w:r w:rsidRPr="00040CC2">
        <w:t>V</w:t>
      </w:r>
      <w:r w:rsidR="00CB73BF">
        <w:t>aasa</w:t>
      </w:r>
      <w:r w:rsidRPr="00040CC2">
        <w:t xml:space="preserve"> (coordinator), Wärtsilä, Cargill International, MSC Cruises, Lloyd’s </w:t>
      </w:r>
      <w:r w:rsidR="00CB73BF">
        <w:t>R</w:t>
      </w:r>
      <w:r w:rsidRPr="00040CC2">
        <w:t xml:space="preserve">egister, </w:t>
      </w:r>
      <w:r>
        <w:t xml:space="preserve">the </w:t>
      </w:r>
      <w:r w:rsidRPr="00040CC2">
        <w:t xml:space="preserve">World Maritime University, Silverstream Technologies, HASYTEC Electronics, </w:t>
      </w:r>
      <w:r w:rsidRPr="00040CC2">
        <w:t>Deltamarin, Climeon</w:t>
      </w:r>
      <w:r w:rsidR="00CB73BF">
        <w:t>,</w:t>
      </w:r>
      <w:r w:rsidRPr="00040CC2">
        <w:t xml:space="preserve"> and BAR Technologies.</w:t>
      </w:r>
      <w:bookmarkEnd w:id="18"/>
    </w:p>
    <w:p w:rsidR="00E61F91" w:rsidRPr="00E7743D" w:rsidP="00F215DD" w14:paraId="789720DC" w14:textId="77777777">
      <w:pPr>
        <w:pStyle w:val="WHeading3"/>
      </w:pPr>
      <w:bookmarkStart w:id="19" w:name="RG_MARKER_4977"/>
      <w:r>
        <w:t>Capacity adjustments</w:t>
      </w:r>
      <w:bookmarkEnd w:id="19"/>
    </w:p>
    <w:p w:rsidR="001A30B3" w:rsidRPr="00D47F53" w:rsidP="00F215DD" w14:paraId="58D49D4B" w14:textId="77777777">
      <w:pPr>
        <w:pStyle w:val="Wnormal0"/>
        <w:rPr>
          <w:sz w:val="22"/>
        </w:rPr>
      </w:pPr>
      <w:r w:rsidRPr="00623712">
        <w:t xml:space="preserve">In March, Wärtsilä announced that proactive steps </w:t>
      </w:r>
      <w:r w:rsidR="00935C62">
        <w:t>would</w:t>
      </w:r>
      <w:r>
        <w:t xml:space="preserve"> </w:t>
      </w:r>
      <w:r w:rsidRPr="00623712">
        <w:t>be taken to minimise the negative business impact of the COVID-19</w:t>
      </w:r>
      <w:r w:rsidRPr="00623712">
        <w:t xml:space="preserve"> pandemic and the measures initiated to contain it. These include</w:t>
      </w:r>
      <w:r>
        <w:t>d</w:t>
      </w:r>
      <w:r w:rsidRPr="00623712">
        <w:t xml:space="preserve"> reducing working hours and initiating temporary layoffs, as well as streamlining hiring and minimising the use of external personnel and consultants. Discretionary spending </w:t>
      </w:r>
      <w:r>
        <w:t>was</w:t>
      </w:r>
      <w:r w:rsidRPr="00623712">
        <w:t xml:space="preserve"> also</w:t>
      </w:r>
      <w:r w:rsidR="00935C62">
        <w:t xml:space="preserve"> </w:t>
      </w:r>
      <w:r w:rsidRPr="00623712">
        <w:t>reduced</w:t>
      </w:r>
      <w:r w:rsidRPr="00623712">
        <w:t xml:space="preserve"> and non-critical development projects postponed. </w:t>
      </w:r>
      <w:r w:rsidRPr="00623712">
        <w:rPr>
          <w:lang w:eastAsia="en-US"/>
        </w:rPr>
        <w:t xml:space="preserve">Decisions on temporary cost reduction actions </w:t>
      </w:r>
      <w:bookmarkStart w:id="20" w:name="_Hlk53386859"/>
      <w:r w:rsidRPr="00EB3D71">
        <w:rPr>
          <w:lang w:eastAsia="en-US"/>
        </w:rPr>
        <w:t xml:space="preserve">were taken in key countries where such measures were deemed necessary. The actions taken resulted in temporary cost savings of approximately </w:t>
      </w:r>
      <w:r>
        <w:rPr>
          <w:lang w:eastAsia="en-US"/>
        </w:rPr>
        <w:t xml:space="preserve">EUR </w:t>
      </w:r>
      <w:r w:rsidRPr="00EB3D71">
        <w:rPr>
          <w:lang w:eastAsia="en-US"/>
        </w:rPr>
        <w:t xml:space="preserve">100 million </w:t>
      </w:r>
      <w:r w:rsidRPr="00EB3D71">
        <w:rPr>
          <w:lang w:eastAsia="en-US"/>
        </w:rPr>
        <w:t>being recognised during the year, which was in line with initial expectations</w:t>
      </w:r>
      <w:r w:rsidRPr="00515BDF">
        <w:rPr>
          <w:color w:val="FF0000"/>
        </w:rPr>
        <w:t xml:space="preserve">. </w:t>
      </w:r>
      <w:bookmarkEnd w:id="20"/>
      <w:r w:rsidRPr="00623712">
        <w:t xml:space="preserve">The market situation </w:t>
      </w:r>
      <w:r>
        <w:t>is</w:t>
      </w:r>
      <w:r w:rsidRPr="00623712">
        <w:t xml:space="preserve"> continuously monitored</w:t>
      </w:r>
      <w:r>
        <w:t>,</w:t>
      </w:r>
      <w:r w:rsidRPr="00623712">
        <w:t xml:space="preserve"> and further actions </w:t>
      </w:r>
      <w:r>
        <w:t xml:space="preserve">will be </w:t>
      </w:r>
      <w:r w:rsidRPr="00623712">
        <w:t>taken as needed.</w:t>
      </w:r>
    </w:p>
    <w:p w:rsidR="000646BE" w:rsidRPr="007C4F6F" w:rsidP="00B70FD2">
      <w:pPr>
        <w:pStyle w:val="WHeading3"/>
      </w:pPr>
      <w:bookmarkStart w:id="21" w:name="RG_MARKER_4981"/>
      <w:r w:rsidRPr="007C4F6F">
        <w:t>Changes in organisational structure</w:t>
      </w:r>
      <w:bookmarkEnd w:id="21"/>
    </w:p>
    <w:p w:rsidR="00126558" w:rsidRPr="007C4F6F" w:rsidP="00B70FD2">
      <w:pPr>
        <w:pStyle w:val="Wnormal0"/>
        <w:rPr>
          <w:rFonts w:cstheme="minorBidi"/>
          <w:sz w:val="22"/>
        </w:rPr>
      </w:pPr>
      <w:r w:rsidRPr="007C4F6F">
        <w:t>Wärtsilä’s</w:t>
      </w:r>
      <w:r w:rsidRPr="007C4F6F">
        <w:t xml:space="preserve"> new organisational structure became operational on 1 July 2020. With the new structure, Wärtsilä aims to accelerate strategy execution and drive long-term performance. Marine Power, Marine Systems, and Energy will focus on delivering profitable growth by </w:t>
      </w:r>
      <w:r w:rsidRPr="007C4F6F">
        <w:t xml:space="preserve">strengthening their offering of solutions and lifecycle value propositions. Established through the combination of acquisitions </w:t>
      </w:r>
      <w:r>
        <w:t>during</w:t>
      </w:r>
      <w:r w:rsidRPr="007C4F6F">
        <w:t xml:space="preserve"> the past few years, notably Eniram and more recently Transas, Voyage positions Wärtsilä as a market leader in digital </w:t>
      </w:r>
      <w:r>
        <w:t xml:space="preserve">solutions for </w:t>
      </w:r>
      <w:r w:rsidRPr="007C4F6F">
        <w:t xml:space="preserve">the commercial marine industry. Voyage’s focus will be on scaling and developing the business, with the support of continued investments in R&amp;D, sales and marketing, in order to create a basis for sustainable, profitable growth </w:t>
      </w:r>
      <w:r>
        <w:t>over</w:t>
      </w:r>
      <w:r w:rsidRPr="007C4F6F">
        <w:t xml:space="preserve"> </w:t>
      </w:r>
      <w:r w:rsidRPr="007C4F6F">
        <w:t>the long-term. Portfolio Business is run as an independent entity, with the objective of unlocking the value of business units that are not central to Wärtsilä’s strategy.</w:t>
      </w:r>
    </w:p>
    <w:p w:rsidR="00693A60" w:rsidRPr="000D6EC7" w:rsidP="005F366E" w14:paraId="5AE68E3E" w14:textId="5A2CF846">
      <w:pPr>
        <w:pStyle w:val="WHeading3"/>
      </w:pPr>
      <w:bookmarkStart w:id="22" w:name="RG_MARKER_4018"/>
      <w:r w:rsidRPr="000D6EC7">
        <w:t>Personnel</w:t>
      </w:r>
      <w:bookmarkEnd w:id="22"/>
    </w:p>
    <w:p w:rsidR="000D6EC7" w:rsidRPr="000D6EC7" w:rsidP="000D6EC7" w14:paraId="5970110D" w14:textId="59BC62F8">
      <w:pPr>
        <w:pStyle w:val="Wnormal0"/>
        <w:rPr>
          <w:lang w:val="en-GB"/>
        </w:rPr>
      </w:pPr>
      <w:r w:rsidRPr="000D6EC7">
        <w:rPr>
          <w:lang w:val="en-GB"/>
        </w:rPr>
        <w:t xml:space="preserve">Wärtsilä had </w:t>
      </w:r>
      <w:r w:rsidRPr="000D6EC7">
        <w:rPr>
          <w:lang w:val="en-GB"/>
        </w:rPr>
        <w:t>17,792</w:t>
      </w:r>
      <w:r w:rsidRPr="000D6EC7">
        <w:rPr>
          <w:lang w:val="en-GB"/>
        </w:rPr>
        <w:t xml:space="preserve"> (</w:t>
      </w:r>
      <w:r w:rsidRPr="000D6EC7">
        <w:rPr>
          <w:lang w:val="en-GB"/>
        </w:rPr>
        <w:t>18,795</w:t>
      </w:r>
      <w:r w:rsidRPr="000D6EC7">
        <w:rPr>
          <w:lang w:val="en-GB"/>
        </w:rPr>
        <w:t xml:space="preserve">) employees at the end of the year. On average, the number of personnel totalled </w:t>
      </w:r>
      <w:r w:rsidRPr="000D6EC7">
        <w:rPr>
          <w:lang w:val="en-GB"/>
        </w:rPr>
        <w:t>18,307</w:t>
      </w:r>
      <w:r w:rsidRPr="000D6EC7">
        <w:rPr>
          <w:lang w:val="en-GB"/>
        </w:rPr>
        <w:t xml:space="preserve"> (</w:t>
      </w:r>
      <w:r w:rsidRPr="000D6EC7">
        <w:rPr>
          <w:lang w:val="en-GB"/>
        </w:rPr>
        <w:t>19,110</w:t>
      </w:r>
      <w:r w:rsidRPr="000D6EC7">
        <w:rPr>
          <w:lang w:val="en-GB"/>
        </w:rPr>
        <w:t>) in</w:t>
      </w:r>
      <w:r>
        <w:rPr>
          <w:lang w:val="en-GB"/>
        </w:rPr>
        <w:t xml:space="preserve"> the year of </w:t>
      </w:r>
      <w:r>
        <w:rPr>
          <w:lang w:val="en-GB"/>
        </w:rPr>
        <w:t>2020</w:t>
      </w:r>
      <w:r w:rsidRPr="000D6EC7">
        <w:rPr>
          <w:lang w:val="en-GB"/>
        </w:rPr>
        <w:t xml:space="preserve">. </w:t>
      </w:r>
    </w:p>
    <w:p w:rsidR="006070B9" w:rsidRPr="000D6EC7" w:rsidP="000D6EC7" w14:paraId="74812A22" w14:textId="3B4AFD29">
      <w:pPr>
        <w:pStyle w:val="Wnormal0"/>
        <w:rPr>
          <w:lang w:val="en-GB"/>
        </w:rPr>
      </w:pPr>
      <w:r w:rsidRPr="000D6EC7">
        <w:rPr>
          <w:lang w:val="en-GB"/>
        </w:rPr>
        <w:t xml:space="preserve">Of Wärtsilä’s total number of employees, </w:t>
      </w:r>
      <w:r w:rsidRPr="000D6EC7">
        <w:rPr>
          <w:lang w:val="en-GB"/>
        </w:rPr>
        <w:t>21</w:t>
      </w:r>
      <w:r w:rsidRPr="000D6EC7">
        <w:rPr>
          <w:lang w:val="en-GB"/>
        </w:rPr>
        <w:t>% (</w:t>
      </w:r>
      <w:r w:rsidRPr="000D6EC7">
        <w:rPr>
          <w:lang w:val="en-GB"/>
        </w:rPr>
        <w:t>20</w:t>
      </w:r>
      <w:r w:rsidRPr="000D6EC7">
        <w:rPr>
          <w:lang w:val="en-GB"/>
        </w:rPr>
        <w:t xml:space="preserve">) were located in Finland and </w:t>
      </w:r>
      <w:r w:rsidRPr="000D6EC7">
        <w:rPr>
          <w:lang w:val="en-GB"/>
        </w:rPr>
        <w:t>41</w:t>
      </w:r>
      <w:r w:rsidRPr="000D6EC7">
        <w:rPr>
          <w:lang w:val="en-GB"/>
        </w:rPr>
        <w:t>% (</w:t>
      </w:r>
      <w:r w:rsidRPr="000D6EC7">
        <w:rPr>
          <w:lang w:val="en-GB"/>
        </w:rPr>
        <w:t>42</w:t>
      </w:r>
      <w:r w:rsidRPr="000D6EC7">
        <w:rPr>
          <w:lang w:val="en-GB"/>
        </w:rPr>
        <w:t>)</w:t>
      </w:r>
      <w:r w:rsidRPr="000D6EC7">
        <w:rPr>
          <w:lang w:val="en-GB"/>
        </w:rPr>
        <w:t xml:space="preserve"> elsewhere in Europe. Personnel employed in Asia represented </w:t>
      </w:r>
      <w:r w:rsidRPr="000D6EC7">
        <w:rPr>
          <w:lang w:val="en-GB"/>
        </w:rPr>
        <w:t>22</w:t>
      </w:r>
      <w:r w:rsidRPr="000D6EC7">
        <w:rPr>
          <w:lang w:val="en-GB"/>
        </w:rPr>
        <w:t>% (</w:t>
      </w:r>
      <w:r w:rsidRPr="000D6EC7">
        <w:rPr>
          <w:lang w:val="en-GB"/>
        </w:rPr>
        <w:t>23</w:t>
      </w:r>
      <w:r w:rsidRPr="000D6EC7">
        <w:rPr>
          <w:lang w:val="en-GB"/>
        </w:rPr>
        <w:t xml:space="preserve">) of the total, personnel in the Americas </w:t>
      </w:r>
      <w:r w:rsidRPr="000D6EC7">
        <w:rPr>
          <w:lang w:val="en-GB"/>
        </w:rPr>
        <w:t>11</w:t>
      </w:r>
      <w:r w:rsidRPr="000D6EC7">
        <w:rPr>
          <w:lang w:val="en-GB"/>
        </w:rPr>
        <w:t>% (</w:t>
      </w:r>
      <w:r w:rsidRPr="000D6EC7">
        <w:rPr>
          <w:lang w:val="en-GB"/>
        </w:rPr>
        <w:t>11</w:t>
      </w:r>
      <w:r w:rsidRPr="000D6EC7">
        <w:rPr>
          <w:lang w:val="en-GB"/>
        </w:rPr>
        <w:t xml:space="preserve">), and personnel </w:t>
      </w:r>
      <w:r w:rsidRPr="000D6EC7">
        <w:rPr>
          <w:lang w:val="en-GB"/>
        </w:rPr>
        <w:t xml:space="preserve">in other countries </w:t>
      </w:r>
      <w:r w:rsidRPr="000D6EC7">
        <w:rPr>
          <w:lang w:val="en-GB"/>
        </w:rPr>
        <w:t>5</w:t>
      </w:r>
      <w:r w:rsidRPr="000D6EC7">
        <w:rPr>
          <w:lang w:val="en-GB"/>
        </w:rPr>
        <w:t>% (</w:t>
      </w:r>
      <w:r w:rsidRPr="000D6EC7">
        <w:rPr>
          <w:lang w:val="en-GB"/>
        </w:rPr>
        <w:t>4</w:t>
      </w:r>
      <w:r w:rsidRPr="000D6EC7">
        <w:rPr>
          <w:lang w:val="en-GB"/>
        </w:rPr>
        <w:t>).</w:t>
      </w:r>
    </w:p>
    <w:tbl>
      <w:tblPr>
        <w:tblStyle w:val="TableGrid"/>
        <w:tblW w:w="50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22"/>
      </w:tblGrid>
      <w:tr w14:paraId="1FAA02C7" w14:textId="77777777" w:rsidTr="007B4178">
        <w:tblPrEx>
          <w:tblW w:w="50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3909"/>
        </w:trPr>
        <w:tc>
          <w:tcPr>
            <w:tcW w:w="5022" w:type="dxa"/>
            <w:tcMar>
              <w:top w:w="0" w:type="dxa"/>
              <w:left w:w="0" w:type="dxa"/>
              <w:bottom w:w="0" w:type="dxa"/>
              <w:right w:w="0" w:type="dxa"/>
            </w:tcMar>
          </w:tcPr>
          <w:p w:rsidR="009A73FB" w:rsidRPr="000D6EC7" w:rsidP="00591C3E" w14:paraId="40D37D86" w14:textId="16B45667">
            <w:pPr>
              <w:pStyle w:val="Subtitle"/>
              <w:rPr>
                <w:rStyle w:val="Strong"/>
                <w:bCs w:val="0"/>
                <w:lang w:val="en-GB"/>
              </w:rPr>
            </w:pPr>
            <w:r w:rsidRPr="000D6EC7">
              <w:rPr>
                <w:rStyle w:val="SubtitleChar"/>
                <w:b/>
                <w:lang w:val="en-GB"/>
              </w:rPr>
              <w:t>Personne</w:t>
            </w:r>
            <w:r w:rsidRPr="000D6EC7">
              <w:rPr>
                <w:rStyle w:val="Strong"/>
                <w:b/>
                <w:bCs w:val="0"/>
                <w:spacing w:val="4"/>
                <w:sz w:val="17"/>
                <w:szCs w:val="17"/>
                <w:lang w:val="en-GB"/>
              </w:rPr>
              <w:t>l</w:t>
            </w:r>
          </w:p>
          <w:p w:rsidR="00725B55" w:rsidRPr="000D6EC7" w:rsidP="00423DED" w14:paraId="7592E6B7" w14:textId="31634F8E">
            <w:pPr>
              <w:pStyle w:val="Wnormal0"/>
              <w:rPr>
                <w:color w:val="FF7321"/>
                <w:lang w:val="en-GB"/>
              </w:rPr>
            </w:pPr>
            <w:r w:rsidRPr="000D6EC7">
              <w:rPr>
                <w:lang w:val="en-GB"/>
              </w:rPr>
              <w:t xml:space="preserve"> </w:t>
            </w:r>
            <w:r>
              <w:drawing>
                <wp:inline>
                  <wp:extent cx="3025688" cy="2132400"/>
                  <wp:docPr id="8" name="Chart_Personnel_E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4B15CD" w:rsidRPr="00C26206" w:rsidP="00F56980" w14:paraId="376ED001" w14:textId="77777777">
      <w:pPr>
        <w:pStyle w:val="WHeading3"/>
      </w:pPr>
      <w:bookmarkStart w:id="23" w:name="RG_MARKER_4019"/>
      <w:r w:rsidRPr="00C26206">
        <w:t xml:space="preserve">Changes in management </w:t>
      </w:r>
      <w:bookmarkEnd w:id="23"/>
    </w:p>
    <w:p w:rsidR="002B4EB7" w:rsidRPr="002B4EB7" w:rsidP="002B4EB7" w14:paraId="5472A50F" w14:textId="3FBAD92B">
      <w:pPr>
        <w:pStyle w:val="Wnormal0"/>
        <w:spacing w:after="240" w:line="276" w:lineRule="auto"/>
        <w:rPr>
          <w:spacing w:val="2"/>
          <w:sz w:val="17"/>
          <w:szCs w:val="17"/>
          <w:lang w:val="en-GB"/>
        </w:rPr>
      </w:pPr>
      <w:r>
        <w:rPr>
          <w:spacing w:val="2"/>
          <w:sz w:val="17"/>
          <w:szCs w:val="17"/>
          <w:lang w:val="en-GB"/>
        </w:rPr>
        <w:t>In addition to the appointment of a new President and CEO, t</w:t>
      </w:r>
      <w:r w:rsidRPr="002B4EB7">
        <w:rPr>
          <w:spacing w:val="2"/>
          <w:sz w:val="17"/>
          <w:szCs w:val="17"/>
          <w:lang w:val="en-GB"/>
        </w:rPr>
        <w:t xml:space="preserve">he below changes in Wärtsilä’s Board of Management took place during </w:t>
      </w:r>
      <w:r>
        <w:rPr>
          <w:spacing w:val="2"/>
          <w:sz w:val="17"/>
          <w:szCs w:val="17"/>
          <w:lang w:val="en-GB"/>
        </w:rPr>
        <w:t>2020</w:t>
      </w:r>
      <w:r w:rsidRPr="002B4EB7">
        <w:rPr>
          <w:spacing w:val="2"/>
          <w:sz w:val="17"/>
          <w:szCs w:val="17"/>
          <w:lang w:val="en-GB"/>
        </w:rPr>
        <w:t>:</w:t>
      </w:r>
    </w:p>
    <w:p w:rsidR="002B4EB7" w:rsidRPr="002B4EB7" w:rsidP="002B4EB7" w14:paraId="4D3303FF" w14:textId="77777777">
      <w:pPr>
        <w:pStyle w:val="Wnormal0"/>
        <w:spacing w:after="240" w:line="276" w:lineRule="auto"/>
        <w:rPr>
          <w:spacing w:val="2"/>
          <w:sz w:val="17"/>
          <w:szCs w:val="17"/>
          <w:lang w:val="en-GB"/>
        </w:rPr>
      </w:pPr>
      <w:r w:rsidRPr="002B4EB7">
        <w:rPr>
          <w:spacing w:val="2"/>
          <w:sz w:val="17"/>
          <w:szCs w:val="17"/>
          <w:lang w:val="en-GB"/>
        </w:rPr>
        <w:t>Following the announcement that Wärtsilä’s Marine Business would be reorganised into three independent businesses, Roger Holm (b. 1972, M.Sc. Economics), previously the President of Wärtsilä Marine Business and Executive Vice President, was appointed Presi</w:t>
      </w:r>
      <w:r w:rsidRPr="002B4EB7">
        <w:rPr>
          <w:spacing w:val="2"/>
          <w:sz w:val="17"/>
          <w:szCs w:val="17"/>
          <w:lang w:val="en-GB"/>
        </w:rPr>
        <w:t>dent of Wärtsilä Marine Power and Executive Vice President as of 5 March 2020, Tamara de Gruyter (b. 1972, B.Sc. Shipbuilding Engineering) was appointed President of Wärtsilä Marine Systems and Executive Vice President as of 5 March 2020, and Sean Fernback</w:t>
      </w:r>
      <w:r w:rsidRPr="002B4EB7">
        <w:rPr>
          <w:spacing w:val="2"/>
          <w:sz w:val="17"/>
          <w:szCs w:val="17"/>
          <w:lang w:val="en-GB"/>
        </w:rPr>
        <w:t xml:space="preserve"> (b. 1963, Dipl. Electronics Engineering) was appointed President of Wärtsilä Voyage and Executive Vice President as of 4 May 2020.</w:t>
      </w:r>
    </w:p>
    <w:p w:rsidR="003379AB" w:rsidRPr="004B15CD" w:rsidP="00EB6574" w14:paraId="25A7B635" w14:textId="7E2A12F8">
      <w:pPr>
        <w:pStyle w:val="Wnormal0"/>
        <w:spacing w:after="240" w:line="276" w:lineRule="auto"/>
        <w:rPr>
          <w:spacing w:val="2"/>
          <w:sz w:val="17"/>
          <w:szCs w:val="17"/>
          <w:lang w:val="en-GB"/>
        </w:rPr>
      </w:pPr>
      <w:r w:rsidRPr="002B4EB7">
        <w:rPr>
          <w:spacing w:val="2"/>
          <w:sz w:val="17"/>
          <w:szCs w:val="17"/>
          <w:lang w:val="en-GB"/>
        </w:rPr>
        <w:t>In July, Sushil Purohit (b. 1972, B.Sc. (Eng.), MBA) was appointed President of Wärtsilä Energy and Executive Vice President</w:t>
      </w:r>
      <w:r w:rsidRPr="002B4EB7">
        <w:rPr>
          <w:spacing w:val="2"/>
          <w:sz w:val="17"/>
          <w:szCs w:val="17"/>
          <w:lang w:val="en-GB"/>
        </w:rPr>
        <w:t xml:space="preserve"> as of 3 August 2020. He replaced Marco </w:t>
      </w:r>
      <w:r w:rsidRPr="002B4EB7">
        <w:rPr>
          <w:spacing w:val="2"/>
          <w:sz w:val="17"/>
          <w:szCs w:val="17"/>
          <w:lang w:val="en-GB"/>
        </w:rPr>
        <w:t>Wirén</w:t>
      </w:r>
      <w:r w:rsidRPr="002B4EB7">
        <w:rPr>
          <w:spacing w:val="2"/>
          <w:sz w:val="17"/>
          <w:szCs w:val="17"/>
          <w:lang w:val="en-GB"/>
        </w:rPr>
        <w:t xml:space="preserve">, who left Wärtsilä on 31 August 2020 for a position outside the Group.  </w:t>
      </w:r>
    </w:p>
    <w:p w:rsidR="007F47FE" w:rsidRPr="00EB089B" w:rsidP="00A123B1" w14:paraId="350C78A5" w14:textId="677103D6">
      <w:pPr>
        <w:pStyle w:val="WHeading3"/>
        <w:rPr>
          <w:lang w:val="en-GB"/>
        </w:rPr>
      </w:pPr>
      <w:bookmarkStart w:id="24" w:name="RG_MARKER_4020"/>
      <w:r w:rsidRPr="00EB089B">
        <w:rPr>
          <w:lang w:val="en-GB"/>
        </w:rPr>
        <w:t xml:space="preserve">Non-financial report </w:t>
      </w:r>
      <w:bookmarkEnd w:id="24"/>
    </w:p>
    <w:p w:rsidR="007F47FE" w:rsidRPr="00EB089B" w:rsidP="00CB2A93" w14:paraId="47E2B01B" w14:textId="66BA6511">
      <w:pPr>
        <w:pStyle w:val="Wnormal0"/>
        <w:rPr>
          <w:color w:val="111111"/>
          <w:lang w:val="en-GB"/>
        </w:rPr>
      </w:pPr>
      <w:r w:rsidRPr="00EB089B">
        <w:rPr>
          <w:color w:val="111111"/>
          <w:lang w:val="en-GB"/>
        </w:rPr>
        <w:t>Increasing environmental awareness is resulting in fundamental changes in both the marine and energy industries. Thanks to its various technologies and specialised</w:t>
      </w:r>
      <w:r w:rsidRPr="00EB089B">
        <w:rPr>
          <w:color w:val="111111"/>
          <w:lang w:val="en-GB"/>
        </w:rPr>
        <w:t xml:space="preserve"> services, Wärtsilä is well positioned to reduce exhaust emissions and the use of natural resources, as well as to support its customers in preparing for new regulatory requirements. Wärtsilä’s R&amp;D efforts continue to focus on the development of advanced e</w:t>
      </w:r>
      <w:r w:rsidRPr="00EB089B">
        <w:rPr>
          <w:color w:val="111111"/>
          <w:lang w:val="en-GB"/>
        </w:rPr>
        <w:t>nvironmental technologies and solutions. The company is committed to supporting the UN Global Compact and its principles with respect to human rights, labour, the environment, and anti-corruption. Wärtsilä is also committed to supporting the UN Sustainable</w:t>
      </w:r>
      <w:r w:rsidRPr="00EB089B">
        <w:rPr>
          <w:color w:val="111111"/>
          <w:lang w:val="en-GB"/>
        </w:rPr>
        <w:t xml:space="preserve"> Development Goals that deal with issues to which Wärtsilä contributes in a positive way. Such goals include those related to clean energy, a low-carbon marine ecosystem, and responsible business conduct. </w:t>
      </w:r>
    </w:p>
    <w:p w:rsidR="007F47FE" w:rsidRPr="00EB089B" w:rsidP="00A123B1" w14:paraId="5C9DFB77" w14:textId="77777777">
      <w:pPr>
        <w:pStyle w:val="WHeading40"/>
        <w:rPr>
          <w:lang w:val="en-GB"/>
        </w:rPr>
      </w:pPr>
      <w:r w:rsidRPr="00EB089B">
        <w:rPr>
          <w:lang w:val="en-GB"/>
        </w:rPr>
        <w:t xml:space="preserve">Responsible business conduct </w:t>
      </w:r>
    </w:p>
    <w:p w:rsidR="007F47FE" w:rsidRPr="00EB089B" w:rsidP="00CB2A93" w14:paraId="2237ADD6" w14:textId="77777777">
      <w:pPr>
        <w:pStyle w:val="Wnormal0"/>
        <w:rPr>
          <w:color w:val="111111"/>
          <w:lang w:val="en-GB"/>
        </w:rPr>
      </w:pPr>
      <w:r w:rsidRPr="00EB089B">
        <w:rPr>
          <w:color w:val="111111"/>
          <w:lang w:val="en-GB"/>
        </w:rPr>
        <w:t>The Wärtsilä Code of</w:t>
      </w:r>
      <w:r w:rsidRPr="00EB089B">
        <w:rPr>
          <w:color w:val="111111"/>
          <w:lang w:val="en-GB"/>
        </w:rPr>
        <w:t xml:space="preserve"> Conduct defines common rules for all employees, and provides guidance on Wärtsilä’s approach to responsible business practices. The Code of Conduct is complemented by group-wide policies, including the quality, environmental, health and safety policy, the</w:t>
      </w:r>
      <w:r w:rsidRPr="00EB089B">
        <w:rPr>
          <w:color w:val="111111"/>
          <w:lang w:val="en-GB"/>
        </w:rPr>
        <w:t xml:space="preserve"> corporate policy on equal opportunities and fair employment practices, as well as policies related to anti-corruption, compliance reporting, and sourcing and purchasing. </w:t>
      </w:r>
    </w:p>
    <w:p w:rsidR="007F47FE" w:rsidRPr="00EB089B" w:rsidP="00CB2A93" w14:paraId="2B00DC47" w14:textId="58A47B52">
      <w:pPr>
        <w:pStyle w:val="Wnormal0"/>
        <w:rPr>
          <w:color w:val="111111"/>
          <w:lang w:val="en-GB"/>
        </w:rPr>
      </w:pPr>
      <w:r w:rsidRPr="00EB089B">
        <w:rPr>
          <w:color w:val="111111"/>
          <w:lang w:val="en-GB"/>
        </w:rPr>
        <w:t>Wärtsilä takes an active approach to the application of the Code of Conduct and prom</w:t>
      </w:r>
      <w:r w:rsidRPr="00EB089B">
        <w:rPr>
          <w:color w:val="111111"/>
          <w:lang w:val="en-GB"/>
        </w:rPr>
        <w:t xml:space="preserve">otes its implementation through the effective communication of its contents to its employees. Wärtsilä monitors the application of the Code internally to ensure understanding and commitment throughout the organisation. At the end of 2020, </w:t>
      </w:r>
      <w:r w:rsidRPr="00EB089B">
        <w:rPr>
          <w:lang w:val="en-GB"/>
        </w:rPr>
        <w:t>17,039 employees,</w:t>
      </w:r>
      <w:r w:rsidRPr="00EB089B">
        <w:rPr>
          <w:lang w:val="en-GB"/>
        </w:rPr>
        <w:t xml:space="preserve"> covering 9</w:t>
      </w:r>
      <w:r>
        <w:rPr>
          <w:lang w:val="en-GB"/>
        </w:rPr>
        <w:t>6</w:t>
      </w:r>
      <w:r w:rsidRPr="00EB089B">
        <w:rPr>
          <w:lang w:val="en-GB"/>
        </w:rPr>
        <w:t xml:space="preserve">% of the total number of employees, </w:t>
      </w:r>
      <w:r w:rsidRPr="00EB089B">
        <w:rPr>
          <w:color w:val="111111"/>
          <w:lang w:val="en-GB"/>
        </w:rPr>
        <w:t xml:space="preserve">had participated in the Code of Conduct training programme. </w:t>
      </w:r>
    </w:p>
    <w:p w:rsidR="007F47FE" w:rsidRPr="00EB089B" w:rsidP="00CB2A93" w14:paraId="50555B5A" w14:textId="3CD14873">
      <w:pPr>
        <w:pStyle w:val="Wnormal0"/>
        <w:rPr>
          <w:color w:val="111111"/>
          <w:lang w:val="en-GB"/>
        </w:rPr>
      </w:pPr>
      <w:r w:rsidRPr="00EB089B">
        <w:rPr>
          <w:color w:val="111111"/>
          <w:lang w:val="en-GB"/>
        </w:rPr>
        <w:t xml:space="preserve">Suppliers and business partners are an integral part of the total value chain of the products and services of Wärtsilä. </w:t>
      </w:r>
      <w:r w:rsidRPr="00EB089B">
        <w:rPr>
          <w:color w:val="111111"/>
          <w:lang w:val="en-GB"/>
        </w:rPr>
        <w:t>They are expected to conduc</w:t>
      </w:r>
      <w:r w:rsidRPr="00EB089B">
        <w:rPr>
          <w:color w:val="111111"/>
          <w:lang w:val="en-GB"/>
        </w:rPr>
        <w:t>t their businesses in compliance with the same high legal and ethical standards and business practices as Wärtsilä. Information on Wärtsilä’s requirements is included in supplier agreement templates.</w:t>
      </w:r>
    </w:p>
    <w:p w:rsidR="00D607C5" w:rsidRPr="00EB089B" w:rsidP="00DC6DCA" w14:paraId="0BF349CC" w14:textId="5999D663">
      <w:pPr>
        <w:pStyle w:val="WHeading40"/>
        <w:rPr>
          <w:lang w:val="en-GB"/>
        </w:rPr>
      </w:pPr>
      <w:r w:rsidRPr="00EB089B">
        <w:rPr>
          <w:lang w:val="en-GB"/>
        </w:rPr>
        <w:t xml:space="preserve">Environmental performance </w:t>
      </w:r>
    </w:p>
    <w:p w:rsidR="007F47FE" w:rsidRPr="00EB089B" w:rsidP="00CB2A93" w14:paraId="0968E853" w14:textId="1E853FB1">
      <w:pPr>
        <w:pStyle w:val="Wnormal0"/>
        <w:rPr>
          <w:color w:val="111111"/>
          <w:lang w:val="en-GB"/>
        </w:rPr>
      </w:pPr>
      <w:r w:rsidRPr="00EB089B">
        <w:rPr>
          <w:color w:val="111111"/>
          <w:lang w:val="en-GB"/>
        </w:rPr>
        <w:t xml:space="preserve">Wärtsilä’s main contribution </w:t>
      </w:r>
      <w:r w:rsidRPr="00EB089B">
        <w:rPr>
          <w:color w:val="111111"/>
          <w:lang w:val="en-GB"/>
        </w:rPr>
        <w:t>to improved environmental performance lies in providing its customers with reliable and safe technologies and services, which, in addition to enabling environmental compliance, support the sustainable development of the marine and energy industries. Wärtsi</w:t>
      </w:r>
      <w:r w:rsidRPr="00EB089B">
        <w:rPr>
          <w:color w:val="111111"/>
          <w:lang w:val="en-GB"/>
        </w:rPr>
        <w:t>lä’s products and solutions are designed to operate for up to 30 years. Therefore, focusing R&amp;D efforts on improving the product or system level performance is crucial, as is adopting a lifecycle approach to performance optimisation. In addition to improvi</w:t>
      </w:r>
      <w:r w:rsidRPr="00EB089B">
        <w:rPr>
          <w:color w:val="111111"/>
          <w:lang w:val="en-GB"/>
        </w:rPr>
        <w:t>ng the environmental performance of its product</w:t>
      </w:r>
      <w:r w:rsidRPr="00EB089B" w:rsidR="00131FEF">
        <w:rPr>
          <w:color w:val="111111"/>
          <w:lang w:val="en-GB"/>
        </w:rPr>
        <w:t>s</w:t>
      </w:r>
      <w:r w:rsidRPr="00EB089B">
        <w:rPr>
          <w:color w:val="111111"/>
          <w:lang w:val="en-GB"/>
        </w:rPr>
        <w:t xml:space="preserve"> and solutions, Wärtsilä also continuously monitors the impact caused by its own activities and targets reduced energy consumption in its facilities. </w:t>
      </w:r>
    </w:p>
    <w:p w:rsidR="007F47FE" w:rsidRPr="00EB089B" w:rsidP="00CB2A93" w14:paraId="0DFFF114" w14:textId="370B06CC">
      <w:pPr>
        <w:pStyle w:val="Wnormal0"/>
        <w:rPr>
          <w:color w:val="111111"/>
          <w:lang w:val="en-GB"/>
        </w:rPr>
      </w:pPr>
      <w:r w:rsidRPr="00EB089B">
        <w:rPr>
          <w:color w:val="111111"/>
          <w:lang w:val="en-GB"/>
        </w:rPr>
        <w:t>Wärtsilä's quality, environmental, health and safety poli</w:t>
      </w:r>
      <w:r w:rsidRPr="00EB089B">
        <w:rPr>
          <w:color w:val="111111"/>
          <w:lang w:val="en-GB"/>
        </w:rPr>
        <w:t>cy sets principles for managing the environmental impacts of Wärtsilä’s products and services. The potential risks related to environmental matters and climate change are in the areas of regulatory emission restrictions and changes in customer attitudes to</w:t>
      </w:r>
      <w:r w:rsidRPr="00EB089B">
        <w:rPr>
          <w:color w:val="111111"/>
          <w:lang w:val="en-GB"/>
        </w:rPr>
        <w:t xml:space="preserve"> using combustion engines and fossil fuels. Risks are managed by focusing on product efficiency improvement and emission reduction in R&amp;D activities, as well as by developing a wide product offering, including technologies related to waste reduction, noise</w:t>
      </w:r>
      <w:r w:rsidRPr="00EB089B">
        <w:rPr>
          <w:color w:val="111111"/>
          <w:lang w:val="en-GB"/>
        </w:rPr>
        <w:t xml:space="preserve"> abatement, and effluent and ballast water treatment</w:t>
      </w:r>
      <w:r w:rsidRPr="00EB089B">
        <w:rPr>
          <w:lang w:val="en-GB"/>
        </w:rPr>
        <w:t xml:space="preserve">. During </w:t>
      </w:r>
      <w:r w:rsidRPr="00EB089B" w:rsidR="003D0890">
        <w:rPr>
          <w:lang w:val="en-GB"/>
        </w:rPr>
        <w:t>2020</w:t>
      </w:r>
      <w:r w:rsidRPr="00EB089B">
        <w:rPr>
          <w:lang w:val="en-GB"/>
        </w:rPr>
        <w:t xml:space="preserve">, R&amp;D investments totalled EUR </w:t>
      </w:r>
      <w:r w:rsidRPr="00EB089B" w:rsidR="003D0890">
        <w:rPr>
          <w:lang w:val="en-GB"/>
        </w:rPr>
        <w:t>153</w:t>
      </w:r>
      <w:r w:rsidRPr="00EB089B">
        <w:rPr>
          <w:lang w:val="en-GB"/>
        </w:rPr>
        <w:t xml:space="preserve"> million, which represents </w:t>
      </w:r>
      <w:r w:rsidRPr="00EB089B" w:rsidR="003D0890">
        <w:rPr>
          <w:lang w:val="en-GB"/>
        </w:rPr>
        <w:t>3.3</w:t>
      </w:r>
      <w:r w:rsidRPr="00EB089B">
        <w:rPr>
          <w:lang w:val="en-GB"/>
        </w:rPr>
        <w:t>% of net sales. The majority of these investments targete</w:t>
      </w:r>
      <w:r w:rsidRPr="00EB089B">
        <w:rPr>
          <w:lang w:val="en-GB"/>
        </w:rPr>
        <w:t xml:space="preserve">d improved </w:t>
      </w:r>
      <w:r w:rsidRPr="00EB089B">
        <w:rPr>
          <w:color w:val="111111"/>
          <w:lang w:val="en-GB"/>
        </w:rPr>
        <w:t>environmental performance. Significant achievements related to sustainable innovation included the progress made in developing engine technology to burn zero-carbon fuels. For the marine markets, Wärtsilä launched several solutions in support of</w:t>
      </w:r>
      <w:r w:rsidRPr="00EB089B">
        <w:rPr>
          <w:color w:val="111111"/>
          <w:lang w:val="en-GB"/>
        </w:rPr>
        <w:t xml:space="preserve"> its Smart Marine Ecosystem </w:t>
      </w:r>
      <w:r w:rsidRPr="00EB089B">
        <w:rPr>
          <w:color w:val="111111"/>
          <w:lang w:val="en-GB"/>
        </w:rPr>
        <w:t>vision, including solutions for smart navigation, a number of remote support services, as well as a cloud simulation platform enabling remote training. In the energy sector, Wärtsilä introduced the GridSolv Quantum energy storag</w:t>
      </w:r>
      <w:r w:rsidRPr="00EB089B">
        <w:rPr>
          <w:color w:val="111111"/>
          <w:lang w:val="en-GB"/>
        </w:rPr>
        <w:t>e system, a fully integrated modular and compact solution that enables the rapid deployment of cost-effective energy storage, as well as data-based solutions to better understand the impact of the energy transition.</w:t>
      </w:r>
    </w:p>
    <w:p w:rsidR="0076044C" w:rsidRPr="00EB089B" w:rsidP="00A123B1" w14:paraId="3FA9E05C" w14:textId="54F0997E">
      <w:pPr>
        <w:pStyle w:val="WHeading40"/>
        <w:rPr>
          <w:lang w:val="en-GB"/>
        </w:rPr>
      </w:pPr>
      <w:r w:rsidRPr="00EB089B">
        <w:rPr>
          <w:lang w:val="en-GB"/>
        </w:rPr>
        <w:t xml:space="preserve">Social and employee matters </w:t>
      </w:r>
    </w:p>
    <w:p w:rsidR="007F47FE" w:rsidRPr="00EB089B" w:rsidP="00CB2A93" w14:paraId="4B7A68F8" w14:textId="77777777">
      <w:pPr>
        <w:pStyle w:val="Wnormal0"/>
        <w:rPr>
          <w:color w:val="111111"/>
          <w:lang w:val="en-GB"/>
        </w:rPr>
      </w:pPr>
      <w:r w:rsidRPr="00EB089B">
        <w:rPr>
          <w:color w:val="111111"/>
          <w:lang w:val="en-GB"/>
        </w:rPr>
        <w:t>Wärtsilä is</w:t>
      </w:r>
      <w:r w:rsidRPr="00EB089B">
        <w:rPr>
          <w:color w:val="111111"/>
          <w:lang w:val="en-GB"/>
        </w:rPr>
        <w:t xml:space="preserve"> a responsible employer, offering employees a workplace where openness, respect, trust, equal opportunities, and scope for personal development prevail. Wärtsilä is a signatory of the UN Global Compact initiative and supports the work-related rights define</w:t>
      </w:r>
      <w:r w:rsidRPr="00EB089B">
        <w:rPr>
          <w:color w:val="111111"/>
          <w:lang w:val="en-GB"/>
        </w:rPr>
        <w:t xml:space="preserve">d by the International Labour Organization (ILO). Wärtsilä's corporate policy on equal opportunities and fair employment practices creates a common framework for employee practices in all Wärtsilä companies. People management processes, tools, and ways of </w:t>
      </w:r>
      <w:r w:rsidRPr="00EB089B">
        <w:rPr>
          <w:color w:val="111111"/>
          <w:lang w:val="en-GB"/>
        </w:rPr>
        <w:t>working are developed to ensure consistency across national and organisational boundaries. Wärtsilä has a global job grading system and rewarding principles to ensure transparency and fairness for all employees, which are followed by all the entities in Wä</w:t>
      </w:r>
      <w:r w:rsidRPr="00EB089B">
        <w:rPr>
          <w:color w:val="111111"/>
          <w:lang w:val="en-GB"/>
        </w:rPr>
        <w:t xml:space="preserve">rtsilä globally. </w:t>
      </w:r>
    </w:p>
    <w:p w:rsidR="007F47FE" w:rsidRPr="00EB089B" w:rsidP="00CB2A93" w14:paraId="256BE212" w14:textId="101D9527">
      <w:pPr>
        <w:pStyle w:val="Wnormal0"/>
        <w:rPr>
          <w:lang w:val="en-GB"/>
        </w:rPr>
      </w:pPr>
      <w:r w:rsidRPr="00EB089B">
        <w:rPr>
          <w:color w:val="111111"/>
          <w:lang w:val="en-GB"/>
        </w:rPr>
        <w:t>The objective of Wärtsilä’s people management strategy is to ensure that the businesses have the required resources, and skilled and motivated people at their disposal. In order to develop their competences, employees are offered a wide v</w:t>
      </w:r>
      <w:r w:rsidRPr="00EB089B">
        <w:rPr>
          <w:color w:val="111111"/>
          <w:lang w:val="en-GB"/>
        </w:rPr>
        <w:t xml:space="preserve">ariety of internal training courses, including topics like technology, health and safety, language and culture, project management, environment, security, and leadership. The average number of learning days was </w:t>
      </w:r>
      <w:r w:rsidRPr="00EB089B">
        <w:rPr>
          <w:lang w:val="en-GB"/>
        </w:rPr>
        <w:t xml:space="preserve">1.1 per employee in 2020. </w:t>
      </w:r>
    </w:p>
    <w:p w:rsidR="007F47FE" w:rsidRPr="00EB089B" w:rsidP="00CB2A93" w14:paraId="636E108A" w14:textId="4B15F50C">
      <w:pPr>
        <w:pStyle w:val="Wnormal0"/>
        <w:rPr>
          <w:color w:val="111111"/>
          <w:lang w:val="en-GB"/>
        </w:rPr>
      </w:pPr>
      <w:r w:rsidRPr="00EB089B">
        <w:rPr>
          <w:color w:val="111111"/>
          <w:lang w:val="en-GB"/>
        </w:rPr>
        <w:t>Wärtsilä aims at o</w:t>
      </w:r>
      <w:r w:rsidRPr="00EB089B">
        <w:rPr>
          <w:color w:val="111111"/>
          <w:lang w:val="en-GB"/>
        </w:rPr>
        <w:t>ffering</w:t>
      </w:r>
      <w:r w:rsidR="00457FF7">
        <w:rPr>
          <w:color w:val="111111"/>
          <w:lang w:val="en-GB"/>
        </w:rPr>
        <w:t xml:space="preserve"> its</w:t>
      </w:r>
      <w:r w:rsidRPr="00EB089B">
        <w:rPr>
          <w:color w:val="111111"/>
          <w:lang w:val="en-GB"/>
        </w:rPr>
        <w:t xml:space="preserve"> employees and contractors a hazard-free working environment, and at minimising the health and safety risks associated with the use of its products and services. The company’s occupational health and safety </w:t>
      </w:r>
      <w:r w:rsidRPr="00EB089B">
        <w:rPr>
          <w:color w:val="111111"/>
          <w:lang w:val="en-GB"/>
        </w:rPr>
        <w:t xml:space="preserve">principles are defined in the Code of </w:t>
      </w:r>
      <w:r w:rsidRPr="00EB089B">
        <w:rPr>
          <w:color w:val="111111"/>
          <w:lang w:val="en-GB"/>
        </w:rPr>
        <w:t xml:space="preserve">Conduct, the quality, environmental, health and safety (QEHS) policy, and in the directive on environment, health, and safety (EHS). Wärtsilä's units are required to have a management system in place that conforms to the QEHS Policy and the EHS directive. </w:t>
      </w:r>
      <w:r w:rsidRPr="00EB089B">
        <w:rPr>
          <w:color w:val="111111"/>
          <w:lang w:val="en-GB"/>
        </w:rPr>
        <w:t xml:space="preserve">In addition to the management system, Wärtsilä companies apply occupational health and safety programmes as required by local legislation. Wärtsilä’s aim is to reach a long-term goal of zero injuries. </w:t>
      </w:r>
      <w:r w:rsidRPr="00EB089B">
        <w:rPr>
          <w:lang w:val="en-GB"/>
        </w:rPr>
        <w:t xml:space="preserve">In 2020, the corporate lost-time injury frequency rate </w:t>
      </w:r>
      <w:r w:rsidRPr="00EB089B">
        <w:rPr>
          <w:lang w:val="en-GB"/>
        </w:rPr>
        <w:t xml:space="preserve">was </w:t>
      </w:r>
      <w:r w:rsidRPr="00DF350D">
        <w:rPr>
          <w:lang w:val="en-GB"/>
        </w:rPr>
        <w:t>2.03</w:t>
      </w:r>
      <w:r w:rsidRPr="00EB089B">
        <w:rPr>
          <w:lang w:val="en-GB"/>
        </w:rPr>
        <w:t xml:space="preserve"> (2.25). </w:t>
      </w:r>
    </w:p>
    <w:p w:rsidR="00B81D1D" w:rsidRPr="00EB089B" w:rsidP="00A123B1" w14:paraId="40ADE21C" w14:textId="2E83F8FF">
      <w:pPr>
        <w:pStyle w:val="WHeading40"/>
        <w:rPr>
          <w:lang w:val="en-GB"/>
        </w:rPr>
      </w:pPr>
      <w:r w:rsidRPr="00EB089B">
        <w:rPr>
          <w:lang w:val="en-GB"/>
        </w:rPr>
        <w:t>Respect for human rights</w:t>
      </w:r>
    </w:p>
    <w:p w:rsidR="007F47FE" w:rsidRPr="00EB089B" w:rsidP="00CB2A93" w14:paraId="05616FCA" w14:textId="69000FFC">
      <w:pPr>
        <w:pStyle w:val="Wnormal0"/>
        <w:rPr>
          <w:color w:val="111111"/>
          <w:lang w:val="en-GB"/>
        </w:rPr>
      </w:pPr>
      <w:r w:rsidRPr="00EB089B">
        <w:rPr>
          <w:color w:val="111111"/>
          <w:lang w:val="en-GB"/>
        </w:rPr>
        <w:t>Wärtsilä supports and respects basic human values as outlined in the UN's universal declaration of human rights. Wärtsilä is also a signatory of the UN Global Compact and is thereby committed to its principles wit</w:t>
      </w:r>
      <w:r w:rsidRPr="00EB089B">
        <w:rPr>
          <w:color w:val="111111"/>
          <w:lang w:val="en-GB"/>
        </w:rPr>
        <w:t>h respect to human rights, labour, the environment</w:t>
      </w:r>
      <w:r>
        <w:rPr>
          <w:color w:val="111111"/>
          <w:lang w:val="en-GB"/>
        </w:rPr>
        <w:t>,</w:t>
      </w:r>
      <w:r w:rsidRPr="00EB089B">
        <w:rPr>
          <w:color w:val="111111"/>
          <w:lang w:val="en-GB"/>
        </w:rPr>
        <w:t xml:space="preserve"> and anti-corruption. No employee is allowed to take any action that violates these human rights principles, either directly or indirectly. Wärtsilä does not accept the use of forced labour or child labour</w:t>
      </w:r>
      <w:r w:rsidRPr="00EB089B">
        <w:rPr>
          <w:color w:val="111111"/>
          <w:lang w:val="en-GB"/>
        </w:rPr>
        <w:t xml:space="preserve"> in any form. Human and labour rights are a part of the Code of Conduct training material, and are included in Wärtsilä’s policy on equal opportunities and fair employment practices as well as in the company’s supplier handbook. </w:t>
      </w:r>
    </w:p>
    <w:p w:rsidR="007F47FE" w:rsidRPr="00EB089B" w:rsidP="00A123B1" w14:paraId="5EB6A4DD" w14:textId="77777777">
      <w:pPr>
        <w:pStyle w:val="WHeading40"/>
        <w:rPr>
          <w:lang w:val="en-GB"/>
        </w:rPr>
      </w:pPr>
      <w:r w:rsidRPr="00EB089B">
        <w:rPr>
          <w:lang w:val="en-GB"/>
        </w:rPr>
        <w:t>Anti-corruption and briber</w:t>
      </w:r>
      <w:r w:rsidRPr="00EB089B">
        <w:rPr>
          <w:lang w:val="en-GB"/>
        </w:rPr>
        <w:t>y matters</w:t>
      </w:r>
    </w:p>
    <w:p w:rsidR="007F47FE" w:rsidRPr="00EB089B" w:rsidP="007F47FE" w14:paraId="674A1311" w14:textId="77777777">
      <w:pPr>
        <w:pStyle w:val="Wnormal0"/>
        <w:rPr>
          <w:color w:val="111111"/>
          <w:lang w:val="en-GB"/>
        </w:rPr>
      </w:pPr>
      <w:r w:rsidRPr="00EB089B">
        <w:rPr>
          <w:color w:val="111111"/>
          <w:lang w:val="en-GB"/>
        </w:rPr>
        <w:t>Wärtsilä's Code of Conduct, anti-corruption policy, and broker directive expressly prohibit the company and its employees from offering or accepting any kind of benefit considered a bribe and from taking actions that could give rise to a conflict</w:t>
      </w:r>
      <w:r w:rsidRPr="00EB089B">
        <w:rPr>
          <w:color w:val="111111"/>
          <w:lang w:val="en-GB"/>
        </w:rPr>
        <w:t xml:space="preserve"> of interest or breach of loyalty. The instructions make it compulsory to comply with anti-corruption laws of all the countries in which Wärtsilä does or intends to do business and urge the reporting of any cases of corruption and bribery. </w:t>
      </w:r>
    </w:p>
    <w:p w:rsidR="00F21934" w:rsidRPr="00EB089B" w:rsidP="007F47FE" w14:paraId="28C87A12" w14:textId="42EDE39B">
      <w:pPr>
        <w:pStyle w:val="Wnormal0"/>
        <w:rPr>
          <w:color w:val="111111"/>
          <w:lang w:val="en-GB"/>
        </w:rPr>
      </w:pPr>
      <w:r w:rsidRPr="00EB089B">
        <w:rPr>
          <w:color w:val="111111"/>
          <w:lang w:val="en-GB"/>
        </w:rPr>
        <w:t>Wärtsilä is aware of the risk of being subject to fraud by external business parties, and that the risk of corruption and fraud is heightened in many markets where the company operates. Therefore, full compliance with a stringent anti-</w:t>
      </w:r>
      <w:r w:rsidRPr="00EB089B">
        <w:rPr>
          <w:color w:val="111111"/>
          <w:lang w:val="en-GB"/>
        </w:rPr>
        <w:t xml:space="preserve">corruption regime is </w:t>
      </w:r>
      <w:r w:rsidRPr="00EB089B">
        <w:rPr>
          <w:color w:val="111111"/>
          <w:lang w:val="en-GB"/>
        </w:rPr>
        <w:t xml:space="preserve">required of all employees. An extensive training programme is in place for personnel on anti-corruption principles and applicable legislation as well as the relevant company policies and procedures. </w:t>
      </w:r>
      <w:r w:rsidRPr="00EB089B">
        <w:rPr>
          <w:lang w:val="en-GB"/>
        </w:rPr>
        <w:t>By the end of 2020, 93% of Wärtsilä’s employees had parti</w:t>
      </w:r>
      <w:r w:rsidRPr="00EB089B">
        <w:rPr>
          <w:lang w:val="en-GB"/>
        </w:rPr>
        <w:t xml:space="preserve">cipated in anti-corruption trainings. </w:t>
      </w:r>
      <w:r w:rsidRPr="00EB089B">
        <w:rPr>
          <w:color w:val="111111"/>
          <w:lang w:val="en-GB"/>
        </w:rPr>
        <w:t xml:space="preserve">Employees are encouraged to provide feedback and communicate suspected misconduct to line management or directly to the </w:t>
      </w:r>
      <w:r>
        <w:rPr>
          <w:color w:val="111111"/>
          <w:lang w:val="en-GB"/>
        </w:rPr>
        <w:t>C</w:t>
      </w:r>
      <w:r w:rsidRPr="00EB089B">
        <w:rPr>
          <w:color w:val="111111"/>
          <w:lang w:val="en-GB"/>
        </w:rPr>
        <w:t xml:space="preserve">ompliance, </w:t>
      </w:r>
      <w:r>
        <w:rPr>
          <w:color w:val="111111"/>
          <w:lang w:val="en-GB"/>
        </w:rPr>
        <w:t>L</w:t>
      </w:r>
      <w:r w:rsidRPr="00EB089B">
        <w:rPr>
          <w:color w:val="111111"/>
          <w:lang w:val="en-GB"/>
        </w:rPr>
        <w:t xml:space="preserve">egal </w:t>
      </w:r>
      <w:r>
        <w:rPr>
          <w:color w:val="111111"/>
          <w:lang w:val="en-GB"/>
        </w:rPr>
        <w:t>A</w:t>
      </w:r>
      <w:r w:rsidRPr="00EB089B">
        <w:rPr>
          <w:color w:val="111111"/>
          <w:lang w:val="en-GB"/>
        </w:rPr>
        <w:t>ffairs</w:t>
      </w:r>
      <w:r>
        <w:rPr>
          <w:color w:val="111111"/>
          <w:lang w:val="en-GB"/>
        </w:rPr>
        <w:t>,</w:t>
      </w:r>
      <w:r w:rsidRPr="00EB089B">
        <w:rPr>
          <w:color w:val="111111"/>
          <w:lang w:val="en-GB"/>
        </w:rPr>
        <w:t xml:space="preserve"> or </w:t>
      </w:r>
      <w:r>
        <w:rPr>
          <w:color w:val="111111"/>
          <w:lang w:val="en-GB"/>
        </w:rPr>
        <w:t>I</w:t>
      </w:r>
      <w:r w:rsidRPr="00EB089B">
        <w:rPr>
          <w:color w:val="111111"/>
          <w:lang w:val="en-GB"/>
        </w:rPr>
        <w:t xml:space="preserve">nternal </w:t>
      </w:r>
      <w:r>
        <w:rPr>
          <w:color w:val="111111"/>
          <w:lang w:val="en-GB"/>
        </w:rPr>
        <w:t>A</w:t>
      </w:r>
      <w:r w:rsidRPr="00EB089B">
        <w:rPr>
          <w:color w:val="111111"/>
          <w:lang w:val="en-GB"/>
        </w:rPr>
        <w:t xml:space="preserve">udit function. Wärtsilä also has a dedicated tool through </w:t>
      </w:r>
      <w:r w:rsidRPr="00EB089B">
        <w:rPr>
          <w:color w:val="111111"/>
          <w:lang w:val="en-GB"/>
        </w:rPr>
        <w:t>which employees can report infringements.</w:t>
      </w:r>
    </w:p>
    <w:p w:rsidR="00F66F00" w:rsidRPr="00EF6F8D" w:rsidP="0033218B" w14:paraId="6A6B2C8D" w14:textId="4F7BA92A">
      <w:pPr>
        <w:pStyle w:val="WHeading3"/>
      </w:pPr>
      <w:bookmarkStart w:id="25" w:name="RG_MARKER_4021"/>
      <w:r w:rsidRPr="00EF6F8D">
        <w:t>Reporting segments</w:t>
      </w:r>
      <w:bookmarkEnd w:id="25"/>
    </w:p>
    <w:p w:rsidR="00F66F00" w:rsidRPr="00EF6F8D" w:rsidP="0033218B" w14:paraId="5F661E9B" w14:textId="18164FAD">
      <w:pPr>
        <w:pStyle w:val="WHeading40"/>
      </w:pPr>
      <w:r w:rsidRPr="00EF6F8D">
        <w:t>Wärtsilä Marine</w:t>
      </w:r>
      <w:r>
        <w:t xml:space="preserve"> Power</w:t>
      </w:r>
    </w:p>
    <w:p w:rsidR="00AF6566" w:rsidRPr="00576049" w:rsidP="00632949" w14:paraId="2C682C7E" w14:textId="24CD987D">
      <w:pPr>
        <w:pStyle w:val="Wnormal0"/>
        <w:rPr>
          <w:color w:val="auto"/>
        </w:rPr>
      </w:pPr>
      <w:r w:rsidRPr="00EF6F8D">
        <w:t>Marine</w:t>
      </w:r>
      <w:r>
        <w:t xml:space="preserve"> Power’s</w:t>
      </w:r>
      <w:r w:rsidRPr="00E54A28">
        <w:rPr>
          <w:lang w:val="en-GB"/>
        </w:rPr>
        <w:t xml:space="preserve"> </w:t>
      </w:r>
      <w:r>
        <w:rPr>
          <w:lang w:val="en-GB"/>
        </w:rPr>
        <w:t>o</w:t>
      </w:r>
      <w:r w:rsidRPr="00E54A28">
        <w:rPr>
          <w:lang w:val="en-GB"/>
        </w:rPr>
        <w:t xml:space="preserve">rder intake in </w:t>
      </w:r>
      <w:r>
        <w:rPr>
          <w:lang w:val="en-GB"/>
        </w:rPr>
        <w:t>2020</w:t>
      </w:r>
      <w:r w:rsidRPr="00E54A28">
        <w:rPr>
          <w:lang w:val="en-GB"/>
        </w:rPr>
        <w:t xml:space="preserve"> </w:t>
      </w:r>
      <w:r w:rsidRPr="00E54A28">
        <w:rPr>
          <w:lang w:val="en-GB"/>
        </w:rPr>
        <w:t>decreased by 23% to</w:t>
      </w:r>
      <w:r w:rsidRPr="00E54A28">
        <w:rPr>
          <w:lang w:val="en-GB"/>
        </w:rPr>
        <w:t xml:space="preserve"> EUR </w:t>
      </w:r>
      <w:r w:rsidRPr="00E54A28">
        <w:rPr>
          <w:lang w:val="en-GB"/>
        </w:rPr>
        <w:t>1,737</w:t>
      </w:r>
      <w:r w:rsidRPr="00E54A28">
        <w:rPr>
          <w:lang w:val="en-GB"/>
        </w:rPr>
        <w:t xml:space="preserve"> million (</w:t>
      </w:r>
      <w:r w:rsidRPr="00E54A28">
        <w:rPr>
          <w:lang w:val="en-GB"/>
        </w:rPr>
        <w:t>2,247</w:t>
      </w:r>
      <w:r w:rsidRPr="00E54A28">
        <w:rPr>
          <w:lang w:val="en-GB"/>
        </w:rPr>
        <w:t xml:space="preserve">) compared to the previous year. Book-to-bill was </w:t>
      </w:r>
      <w:r w:rsidRPr="00E54A28">
        <w:rPr>
          <w:lang w:val="en-GB"/>
        </w:rPr>
        <w:t>0.99</w:t>
      </w:r>
      <w:r w:rsidRPr="00E54A28">
        <w:rPr>
          <w:lang w:val="en-GB"/>
        </w:rPr>
        <w:t xml:space="preserve"> (</w:t>
      </w:r>
      <w:r w:rsidRPr="00E54A28">
        <w:rPr>
          <w:lang w:val="en-GB"/>
        </w:rPr>
        <w:t>1.17</w:t>
      </w:r>
      <w:r w:rsidRPr="00E54A28">
        <w:rPr>
          <w:lang w:val="en-GB"/>
        </w:rPr>
        <w:t>)</w:t>
      </w:r>
      <w:r w:rsidRPr="00E54A28">
        <w:rPr>
          <w:lang w:val="en-GB"/>
        </w:rPr>
        <w:t xml:space="preserve">. Service order intake </w:t>
      </w:r>
      <w:r w:rsidRPr="00E54A28">
        <w:rPr>
          <w:lang w:val="en-GB"/>
        </w:rPr>
        <w:t>decreased by 19% to</w:t>
      </w:r>
      <w:r w:rsidRPr="00E54A28">
        <w:rPr>
          <w:lang w:val="en-GB"/>
        </w:rPr>
        <w:t xml:space="preserve"> EUR </w:t>
      </w:r>
      <w:r w:rsidRPr="00E54A28">
        <w:rPr>
          <w:lang w:val="en-GB"/>
        </w:rPr>
        <w:t>1,070</w:t>
      </w:r>
      <w:r w:rsidRPr="00E54A28">
        <w:rPr>
          <w:lang w:val="en-GB"/>
        </w:rPr>
        <w:t xml:space="preserve"> million (</w:t>
      </w:r>
      <w:r w:rsidRPr="00E54A28">
        <w:rPr>
          <w:lang w:val="en-GB"/>
        </w:rPr>
        <w:t>1,315</w:t>
      </w:r>
      <w:r w:rsidRPr="00E54A28">
        <w:rPr>
          <w:lang w:val="en-GB"/>
        </w:rPr>
        <w:t xml:space="preserve">), </w:t>
      </w:r>
      <w:r w:rsidRPr="00BB74EA" w:rsidR="00576049">
        <w:rPr>
          <w:lang w:val="en-GB"/>
        </w:rPr>
        <w:t>with the largest decline seen in the cruise segment where vessel utilisation remained low throughout the year. Equipment</w:t>
      </w:r>
      <w:r w:rsidRPr="00576049" w:rsidR="00576049">
        <w:rPr>
          <w:lang w:val="en-GB"/>
        </w:rPr>
        <w:t xml:space="preserve"> </w:t>
      </w:r>
      <w:r w:rsidRPr="00E54A28">
        <w:rPr>
          <w:lang w:val="en-GB"/>
        </w:rPr>
        <w:t xml:space="preserve">order intake </w:t>
      </w:r>
      <w:r w:rsidRPr="00E54A28">
        <w:rPr>
          <w:lang w:val="en-GB"/>
        </w:rPr>
        <w:t>decreased by 28% to</w:t>
      </w:r>
      <w:r w:rsidRPr="00E54A28">
        <w:rPr>
          <w:lang w:val="en-GB"/>
        </w:rPr>
        <w:t xml:space="preserve"> EUR </w:t>
      </w:r>
      <w:r w:rsidRPr="00E54A28">
        <w:rPr>
          <w:lang w:val="en-GB"/>
        </w:rPr>
        <w:t>667</w:t>
      </w:r>
      <w:r w:rsidRPr="00E54A28">
        <w:rPr>
          <w:lang w:val="en-GB"/>
        </w:rPr>
        <w:t xml:space="preserve"> million (</w:t>
      </w:r>
      <w:r w:rsidRPr="00E54A28">
        <w:rPr>
          <w:lang w:val="en-GB"/>
        </w:rPr>
        <w:t>931</w:t>
      </w:r>
      <w:r w:rsidRPr="00E54A28">
        <w:rPr>
          <w:lang w:val="en-GB"/>
        </w:rPr>
        <w:t xml:space="preserve">). </w:t>
      </w:r>
      <w:r w:rsidRPr="00BB74EA" w:rsidR="00576049">
        <w:rPr>
          <w:lang w:val="en-GB"/>
        </w:rPr>
        <w:t xml:space="preserve">Demand was the highest in the merchant segment which, including both traditional merchant vessels and gas carriers, represented 35% and 42% of the order intake of equipment and services, respectively. </w:t>
      </w:r>
      <w:r w:rsidRPr="00BB74EA">
        <w:rPr>
          <w:lang w:val="en-GB"/>
        </w:rPr>
        <w:t>Orders received from this segment included a sizeable order to supply dual-fuel engi</w:t>
      </w:r>
      <w:r w:rsidRPr="00BB74EA">
        <w:rPr>
          <w:lang w:val="en-GB"/>
        </w:rPr>
        <w:t>nes to six new LNG vessels and a contract to supply a fully integrated Wärtsilä hybrid solution for Misje Rederi’s three newbuild eco-friendly 5,000 DWT bulk carriers. Other n</w:t>
      </w:r>
      <w:r w:rsidRPr="00BB74EA" w:rsidR="00576049">
        <w:rPr>
          <w:lang w:val="en-GB"/>
        </w:rPr>
        <w:t>oteworthy orders included a contract to supply the engines and a range of electric solutions for two new ferries under construction for Finnlines, as well as a contract to supply Wärtsilä 14 EUR Stage V compliant engines and related emissions control after-treatment systems for two new passenger ferries being built for operation between Switzerland and France.</w:t>
      </w:r>
      <w:r w:rsidRPr="00576049" w:rsidR="00576049">
        <w:rPr>
          <w:lang w:val="en-GB"/>
        </w:rPr>
        <w:t xml:space="preserve"> </w:t>
      </w:r>
      <w:r w:rsidRPr="00E54A28">
        <w:rPr>
          <w:lang w:val="en-GB"/>
        </w:rPr>
        <w:t xml:space="preserve">The order book at the end of the </w:t>
      </w:r>
      <w:r>
        <w:rPr>
          <w:lang w:val="en-GB"/>
        </w:rPr>
        <w:t>year</w:t>
      </w:r>
      <w:r w:rsidRPr="00E54A28">
        <w:rPr>
          <w:lang w:val="en-GB"/>
        </w:rPr>
        <w:t xml:space="preserve"> </w:t>
      </w:r>
      <w:r w:rsidRPr="00E54A28">
        <w:rPr>
          <w:lang w:val="en-GB"/>
        </w:rPr>
        <w:t>decreased by 9% to</w:t>
      </w:r>
      <w:r w:rsidRPr="00E54A28">
        <w:rPr>
          <w:lang w:val="en-GB"/>
        </w:rPr>
        <w:t xml:space="preserve"> EUR </w:t>
      </w:r>
      <w:r w:rsidRPr="00E54A28">
        <w:rPr>
          <w:lang w:val="en-GB"/>
        </w:rPr>
        <w:t>1,839</w:t>
      </w:r>
      <w:r w:rsidRPr="00E54A28">
        <w:rPr>
          <w:lang w:val="en-GB"/>
        </w:rPr>
        <w:t xml:space="preserve"> million (</w:t>
      </w:r>
      <w:r w:rsidRPr="00E54A28">
        <w:rPr>
          <w:lang w:val="en-GB"/>
        </w:rPr>
        <w:t>2,019</w:t>
      </w:r>
      <w:r w:rsidRPr="00E54A28">
        <w:rPr>
          <w:lang w:val="en-GB"/>
        </w:rPr>
        <w:t>).</w:t>
      </w:r>
      <w:r w:rsidRPr="00E54A28">
        <w:rPr>
          <w:lang w:val="en-GB"/>
        </w:rPr>
        <w:br/>
      </w:r>
      <w:r w:rsidRPr="00E54A28">
        <w:rPr>
          <w:lang w:val="en-GB"/>
        </w:rPr>
        <w:br/>
        <w:t xml:space="preserve">Net sales </w:t>
      </w:r>
      <w:r w:rsidRPr="00E54A28">
        <w:rPr>
          <w:lang w:val="en-GB"/>
        </w:rPr>
        <w:t>decreased by 9% to</w:t>
      </w:r>
      <w:r w:rsidRPr="00E54A28">
        <w:rPr>
          <w:lang w:val="en-GB"/>
        </w:rPr>
        <w:t xml:space="preserve"> </w:t>
      </w:r>
      <w:r w:rsidRPr="00E54A28">
        <w:rPr>
          <w:lang w:val="en-GB"/>
        </w:rPr>
        <w:t xml:space="preserve">EUR </w:t>
      </w:r>
      <w:r w:rsidRPr="00E54A28">
        <w:rPr>
          <w:lang w:val="en-GB"/>
        </w:rPr>
        <w:t>1,748</w:t>
      </w:r>
      <w:r w:rsidRPr="00E54A28">
        <w:rPr>
          <w:lang w:val="en-GB"/>
        </w:rPr>
        <w:t xml:space="preserve"> million (</w:t>
      </w:r>
      <w:r w:rsidRPr="00E54A28">
        <w:rPr>
          <w:lang w:val="en-GB"/>
        </w:rPr>
        <w:t>1,923</w:t>
      </w:r>
      <w:r w:rsidRPr="00E54A28">
        <w:rPr>
          <w:lang w:val="en-GB"/>
        </w:rPr>
        <w:t xml:space="preserve">) </w:t>
      </w:r>
      <w:r w:rsidRPr="00E54A28">
        <w:rPr>
          <w:lang w:val="en-GB"/>
        </w:rPr>
        <w:t xml:space="preserve">compared to the previous year. Service net sales </w:t>
      </w:r>
      <w:r w:rsidRPr="00E54A28">
        <w:rPr>
          <w:lang w:val="en-GB"/>
        </w:rPr>
        <w:t>decreased by 14% to</w:t>
      </w:r>
      <w:r w:rsidRPr="00E54A28">
        <w:rPr>
          <w:lang w:val="en-GB"/>
        </w:rPr>
        <w:t xml:space="preserve"> EUR </w:t>
      </w:r>
      <w:r w:rsidRPr="00E54A28">
        <w:rPr>
          <w:lang w:val="en-GB"/>
        </w:rPr>
        <w:t>1,096</w:t>
      </w:r>
      <w:r w:rsidRPr="00E54A28">
        <w:rPr>
          <w:lang w:val="en-GB"/>
        </w:rPr>
        <w:t xml:space="preserve"> mi</w:t>
      </w:r>
      <w:r w:rsidRPr="00E54A28">
        <w:rPr>
          <w:lang w:val="en-GB"/>
        </w:rPr>
        <w:t>llion (</w:t>
      </w:r>
      <w:r w:rsidRPr="00E54A28">
        <w:rPr>
          <w:lang w:val="en-GB"/>
        </w:rPr>
        <w:t>1,279</w:t>
      </w:r>
      <w:r w:rsidRPr="00E54A28">
        <w:rPr>
          <w:lang w:val="en-GB"/>
        </w:rPr>
        <w:t xml:space="preserve">), while equipment net sales </w:t>
      </w:r>
      <w:r w:rsidRPr="00E54A28">
        <w:rPr>
          <w:lang w:val="en-GB"/>
        </w:rPr>
        <w:t>increased by 1% to</w:t>
      </w:r>
      <w:r w:rsidRPr="00E54A28">
        <w:rPr>
          <w:lang w:val="en-GB"/>
        </w:rPr>
        <w:t xml:space="preserve"> EUR </w:t>
      </w:r>
      <w:r w:rsidRPr="00E54A28">
        <w:rPr>
          <w:lang w:val="en-GB"/>
        </w:rPr>
        <w:t>652</w:t>
      </w:r>
      <w:r w:rsidRPr="00E54A28">
        <w:rPr>
          <w:lang w:val="en-GB"/>
        </w:rPr>
        <w:t xml:space="preserve"> million (</w:t>
      </w:r>
      <w:r w:rsidRPr="00E54A28">
        <w:rPr>
          <w:lang w:val="en-GB"/>
        </w:rPr>
        <w:t>643</w:t>
      </w:r>
      <w:r w:rsidRPr="00E54A28">
        <w:rPr>
          <w:lang w:val="en-GB"/>
        </w:rPr>
        <w:t xml:space="preserve">). The comparable operating result amounted to EUR </w:t>
      </w:r>
      <w:r w:rsidRPr="00E54A28">
        <w:rPr>
          <w:lang w:val="en-GB"/>
        </w:rPr>
        <w:t>137</w:t>
      </w:r>
      <w:r w:rsidRPr="00E54A28">
        <w:rPr>
          <w:lang w:val="en-GB"/>
        </w:rPr>
        <w:t xml:space="preserve"> million (</w:t>
      </w:r>
      <w:r w:rsidRPr="00E54A28">
        <w:rPr>
          <w:lang w:val="en-GB"/>
        </w:rPr>
        <w:t>273</w:t>
      </w:r>
      <w:r w:rsidRPr="00E54A28">
        <w:rPr>
          <w:lang w:val="en-GB"/>
        </w:rPr>
        <w:t xml:space="preserve">) or </w:t>
      </w:r>
      <w:r w:rsidRPr="00E54A28">
        <w:rPr>
          <w:lang w:val="en-GB"/>
        </w:rPr>
        <w:t>7.8</w:t>
      </w:r>
      <w:r w:rsidRPr="00E54A28">
        <w:rPr>
          <w:lang w:val="en-GB"/>
        </w:rPr>
        <w:t>% of net sales (</w:t>
      </w:r>
      <w:r w:rsidRPr="00E54A28">
        <w:rPr>
          <w:lang w:val="en-GB"/>
        </w:rPr>
        <w:t>14.2</w:t>
      </w:r>
      <w:r w:rsidRPr="00E54A28">
        <w:rPr>
          <w:lang w:val="en-GB"/>
        </w:rPr>
        <w:t xml:space="preserve">). </w:t>
      </w:r>
      <w:bookmarkStart w:id="26" w:name="_Hlk45217867"/>
      <w:r w:rsidRPr="002E4648">
        <w:rPr>
          <w:rFonts w:eastAsia="Times New Roman"/>
          <w:color w:val="auto"/>
          <w:lang w:val="en-GB"/>
        </w:rPr>
        <w:t>The result was burdened by the COVID-19 related decline in the service business</w:t>
      </w:r>
      <w:r w:rsidRPr="002E4648" w:rsidR="00576049">
        <w:rPr>
          <w:rFonts w:eastAsia="Times New Roman"/>
          <w:color w:val="auto"/>
          <w:lang w:val="en-GB"/>
        </w:rPr>
        <w:t>,</w:t>
      </w:r>
      <w:r w:rsidRPr="002E4648">
        <w:rPr>
          <w:rFonts w:eastAsia="Times New Roman"/>
          <w:color w:val="auto"/>
          <w:lang w:val="en-GB"/>
        </w:rPr>
        <w:t xml:space="preserve"> as well as by weaker absorption of fixed costs and lower utilisation.</w:t>
      </w:r>
      <w:bookmarkEnd w:id="26"/>
      <w:r w:rsidRPr="00576049">
        <w:rPr>
          <w:color w:val="auto"/>
        </w:rPr>
        <w:t xml:space="preserve"> </w:t>
      </w:r>
    </w:p>
    <w:p w:rsidR="00782DBB" w:rsidRPr="00EF6F8D" w:rsidP="0033218B" w14:paraId="574E804A" w14:textId="6F9CA420">
      <w:pPr>
        <w:pStyle w:val="WHeading40"/>
      </w:pPr>
      <w:r w:rsidRPr="00EF6F8D">
        <w:t>Wärtsilä Marine</w:t>
      </w:r>
      <w:r>
        <w:t xml:space="preserve"> Systems</w:t>
      </w:r>
    </w:p>
    <w:p w:rsidR="00782DBB" w:rsidRPr="008E6EAF" w:rsidP="00782DBB" w14:paraId="32381A63" w14:textId="4E8FE029">
      <w:pPr>
        <w:pStyle w:val="Wnormal0"/>
        <w:rPr>
          <w:lang w:val="en-GB"/>
        </w:rPr>
      </w:pPr>
      <w:r>
        <w:rPr>
          <w:lang w:val="en-GB"/>
        </w:rPr>
        <w:t>Marine Systems’ o</w:t>
      </w:r>
      <w:r w:rsidRPr="00782DBB">
        <w:rPr>
          <w:lang w:val="en-GB"/>
        </w:rPr>
        <w:t xml:space="preserve">rder intake in </w:t>
      </w:r>
      <w:r>
        <w:rPr>
          <w:lang w:val="en-GB"/>
        </w:rPr>
        <w:t>2020</w:t>
      </w:r>
      <w:r w:rsidRPr="00782DBB">
        <w:rPr>
          <w:lang w:val="en-GB"/>
        </w:rPr>
        <w:t xml:space="preserve"> </w:t>
      </w:r>
      <w:r w:rsidRPr="00782DBB">
        <w:rPr>
          <w:lang w:val="en-GB"/>
        </w:rPr>
        <w:t>decreased by 28% to</w:t>
      </w:r>
      <w:r w:rsidRPr="00782DBB">
        <w:rPr>
          <w:lang w:val="en-GB"/>
        </w:rPr>
        <w:t xml:space="preserve"> EUR </w:t>
      </w:r>
      <w:r w:rsidRPr="00782DBB">
        <w:rPr>
          <w:lang w:val="en-GB"/>
        </w:rPr>
        <w:t>539</w:t>
      </w:r>
      <w:r w:rsidRPr="00782DBB">
        <w:rPr>
          <w:lang w:val="en-GB"/>
        </w:rPr>
        <w:t xml:space="preserve"> million (</w:t>
      </w:r>
      <w:r w:rsidRPr="00782DBB">
        <w:rPr>
          <w:lang w:val="en-GB"/>
        </w:rPr>
        <w:t>754</w:t>
      </w:r>
      <w:r w:rsidRPr="00782DBB">
        <w:rPr>
          <w:lang w:val="en-GB"/>
        </w:rPr>
        <w:t xml:space="preserve">) compared to the previous </w:t>
      </w:r>
      <w:r w:rsidRPr="008E6EAF">
        <w:rPr>
          <w:lang w:val="en-GB"/>
        </w:rPr>
        <w:t>year</w:t>
      </w:r>
      <w:r w:rsidRPr="008E6EAF" w:rsidR="00576049">
        <w:rPr>
          <w:color w:val="auto"/>
          <w:lang w:val="en-GB"/>
        </w:rPr>
        <w:t xml:space="preserve">, </w:t>
      </w:r>
      <w:bookmarkStart w:id="27" w:name="_Hlk53398171"/>
      <w:r w:rsidRPr="008E6EAF" w:rsidR="00576049">
        <w:rPr>
          <w:color w:val="auto"/>
          <w:lang w:val="en-GB"/>
        </w:rPr>
        <w:t>as reduced fuel spreads scaled back scrubber investments</w:t>
      </w:r>
      <w:bookmarkEnd w:id="27"/>
      <w:r w:rsidRPr="008E6EAF">
        <w:rPr>
          <w:lang w:val="en-GB"/>
        </w:rPr>
        <w:t xml:space="preserve">. Book-to-bill was </w:t>
      </w:r>
      <w:r w:rsidRPr="008E6EAF">
        <w:rPr>
          <w:lang w:val="en-GB"/>
        </w:rPr>
        <w:t>0.67</w:t>
      </w:r>
      <w:r w:rsidRPr="008E6EAF">
        <w:rPr>
          <w:lang w:val="en-GB"/>
        </w:rPr>
        <w:t xml:space="preserve"> (</w:t>
      </w:r>
      <w:r w:rsidRPr="008E6EAF">
        <w:rPr>
          <w:lang w:val="en-GB"/>
        </w:rPr>
        <w:t>0.79</w:t>
      </w:r>
      <w:r w:rsidRPr="008E6EAF">
        <w:rPr>
          <w:lang w:val="en-GB"/>
        </w:rPr>
        <w:t xml:space="preserve">). Service order intake </w:t>
      </w:r>
      <w:r w:rsidRPr="008E6EAF">
        <w:rPr>
          <w:lang w:val="en-GB"/>
        </w:rPr>
        <w:t>decreased by 11% to</w:t>
      </w:r>
      <w:r w:rsidRPr="008E6EAF">
        <w:rPr>
          <w:lang w:val="en-GB"/>
        </w:rPr>
        <w:t xml:space="preserve"> EUR </w:t>
      </w:r>
      <w:r w:rsidRPr="008E6EAF">
        <w:rPr>
          <w:lang w:val="en-GB"/>
        </w:rPr>
        <w:t>205</w:t>
      </w:r>
      <w:r w:rsidRPr="008E6EAF">
        <w:rPr>
          <w:lang w:val="en-GB"/>
        </w:rPr>
        <w:t xml:space="preserve"> million (</w:t>
      </w:r>
      <w:r w:rsidRPr="008E6EAF">
        <w:rPr>
          <w:lang w:val="en-GB"/>
        </w:rPr>
        <w:t>230</w:t>
      </w:r>
      <w:r w:rsidRPr="008E6EAF">
        <w:rPr>
          <w:lang w:val="en-GB"/>
        </w:rPr>
        <w:t xml:space="preserve">). Equipment order intake </w:t>
      </w:r>
      <w:r w:rsidRPr="008E6EAF">
        <w:rPr>
          <w:lang w:val="en-GB"/>
        </w:rPr>
        <w:t>decreased by 36% to</w:t>
      </w:r>
      <w:r w:rsidRPr="008E6EAF">
        <w:rPr>
          <w:lang w:val="en-GB"/>
        </w:rPr>
        <w:t xml:space="preserve"> EUR </w:t>
      </w:r>
      <w:r w:rsidRPr="008E6EAF">
        <w:rPr>
          <w:lang w:val="en-GB"/>
        </w:rPr>
        <w:t>334</w:t>
      </w:r>
      <w:r w:rsidRPr="008E6EAF">
        <w:rPr>
          <w:lang w:val="en-GB"/>
        </w:rPr>
        <w:t xml:space="preserve"> million (</w:t>
      </w:r>
      <w:r w:rsidRPr="008E6EAF">
        <w:rPr>
          <w:lang w:val="en-GB"/>
        </w:rPr>
        <w:t>523</w:t>
      </w:r>
      <w:r w:rsidRPr="008E6EAF">
        <w:rPr>
          <w:lang w:val="en-GB"/>
        </w:rPr>
        <w:t xml:space="preserve">). </w:t>
      </w:r>
      <w:r w:rsidRPr="008E6EAF" w:rsidR="00576049">
        <w:rPr>
          <w:lang w:val="en-GB"/>
        </w:rPr>
        <w:t xml:space="preserve">Noteworthy orders received during the year included </w:t>
      </w:r>
      <w:r w:rsidRPr="008E6EAF">
        <w:rPr>
          <w:lang w:val="en-GB"/>
        </w:rPr>
        <w:t>t</w:t>
      </w:r>
      <w:r w:rsidRPr="008E6EAF">
        <w:rPr>
          <w:lang w:val="en-GB"/>
        </w:rPr>
        <w:t xml:space="preserve">he first order for the Compact Reliq reliquefaction plant, a system designed to reliquefy boil-off gas (BOG) onboard gas carriers and LNG bunker vessels and keep the cargo cool under all operational conditions. Wärtsilä also </w:t>
      </w:r>
      <w:r w:rsidRPr="008E6EAF">
        <w:rPr>
          <w:lang w:val="en-GB"/>
        </w:rPr>
        <w:t xml:space="preserve">received </w:t>
      </w:r>
      <w:r w:rsidRPr="008E6EAF" w:rsidR="00576049">
        <w:rPr>
          <w:lang w:val="en-GB"/>
        </w:rPr>
        <w:t>a major contract to supply and construct a plant for the production of CO</w:t>
      </w:r>
      <w:r w:rsidRPr="008E6EAF" w:rsidR="00576049">
        <w:rPr>
          <w:vertAlign w:val="subscript"/>
          <w:lang w:val="en-GB"/>
        </w:rPr>
        <w:t>2</w:t>
      </w:r>
      <w:r w:rsidRPr="008E6EAF" w:rsidR="00576049">
        <w:rPr>
          <w:lang w:val="en-GB"/>
        </w:rPr>
        <w:t xml:space="preserve">-neutral liquid transport fuels, with a capacity of approximately 100,000 tons per year to be located in Cologne, Germany. </w:t>
      </w:r>
      <w:r w:rsidRPr="008E6EAF">
        <w:rPr>
          <w:lang w:val="en-GB"/>
        </w:rPr>
        <w:t>The order book at the end of the year</w:t>
      </w:r>
      <w:r w:rsidRPr="008E6EAF">
        <w:rPr>
          <w:lang w:val="en-GB"/>
        </w:rPr>
        <w:t xml:space="preserve"> </w:t>
      </w:r>
      <w:r w:rsidRPr="008E6EAF">
        <w:rPr>
          <w:lang w:val="en-GB"/>
        </w:rPr>
        <w:t>decreased by 31% to</w:t>
      </w:r>
      <w:r w:rsidRPr="008E6EAF">
        <w:rPr>
          <w:lang w:val="en-GB"/>
        </w:rPr>
        <w:t xml:space="preserve"> EUR </w:t>
      </w:r>
      <w:r w:rsidRPr="008E6EAF">
        <w:rPr>
          <w:lang w:val="en-GB"/>
        </w:rPr>
        <w:t>857</w:t>
      </w:r>
      <w:r w:rsidRPr="008E6EAF">
        <w:rPr>
          <w:lang w:val="en-GB"/>
        </w:rPr>
        <w:t xml:space="preserve"> million (</w:t>
      </w:r>
      <w:r w:rsidRPr="008E6EAF">
        <w:rPr>
          <w:lang w:val="en-GB"/>
        </w:rPr>
        <w:t>1,232</w:t>
      </w:r>
      <w:r w:rsidRPr="008E6EAF">
        <w:rPr>
          <w:color w:val="auto"/>
          <w:lang w:val="en-GB"/>
        </w:rPr>
        <w:t xml:space="preserve">) </w:t>
      </w:r>
      <w:bookmarkStart w:id="28" w:name="_Hlk45174386"/>
      <w:r w:rsidRPr="008E6EAF">
        <w:rPr>
          <w:color w:val="auto"/>
          <w:lang w:val="en-GB"/>
        </w:rPr>
        <w:t xml:space="preserve">due to </w:t>
      </w:r>
      <w:bookmarkEnd w:id="28"/>
      <w:r w:rsidRPr="008E6EAF" w:rsidR="00576049">
        <w:rPr>
          <w:lang w:val="en-GB"/>
        </w:rPr>
        <w:t xml:space="preserve">the </w:t>
      </w:r>
      <w:r w:rsidRPr="008E6EAF">
        <w:rPr>
          <w:lang w:val="en-GB"/>
        </w:rPr>
        <w:t>shortage of scrubber orders.</w:t>
      </w:r>
    </w:p>
    <w:p w:rsidR="00161BD2" w:rsidRPr="00613FD9" w:rsidP="00613FD9" w14:paraId="4156018F" w14:textId="20657B56">
      <w:pPr>
        <w:pStyle w:val="Wnormal0"/>
        <w:rPr>
          <w:color w:val="FF0000"/>
        </w:rPr>
      </w:pPr>
      <w:r w:rsidRPr="008E6EAF">
        <w:rPr>
          <w:color w:val="auto"/>
          <w:lang w:val="en-GB"/>
        </w:rPr>
        <w:t xml:space="preserve">Net sales </w:t>
      </w:r>
      <w:r w:rsidRPr="008E6EAF">
        <w:rPr>
          <w:color w:val="auto"/>
          <w:lang w:val="en-GB"/>
        </w:rPr>
        <w:t>decreased by 15% to</w:t>
      </w:r>
      <w:r w:rsidRPr="008E6EAF">
        <w:rPr>
          <w:color w:val="auto"/>
          <w:lang w:val="en-GB"/>
        </w:rPr>
        <w:t xml:space="preserve"> EUR </w:t>
      </w:r>
      <w:r w:rsidRPr="008E6EAF">
        <w:rPr>
          <w:color w:val="auto"/>
          <w:lang w:val="en-GB"/>
        </w:rPr>
        <w:t>808</w:t>
      </w:r>
      <w:r w:rsidRPr="008E6EAF">
        <w:rPr>
          <w:color w:val="auto"/>
          <w:lang w:val="en-GB"/>
        </w:rPr>
        <w:t xml:space="preserve"> million (</w:t>
      </w:r>
      <w:r w:rsidRPr="008E6EAF">
        <w:rPr>
          <w:color w:val="auto"/>
          <w:lang w:val="en-GB"/>
        </w:rPr>
        <w:t>952</w:t>
      </w:r>
      <w:r w:rsidRPr="008E6EAF">
        <w:rPr>
          <w:color w:val="auto"/>
          <w:lang w:val="en-GB"/>
        </w:rPr>
        <w:t xml:space="preserve">) compared to the previous year. Service net sales </w:t>
      </w:r>
      <w:r w:rsidRPr="008E6EAF">
        <w:rPr>
          <w:color w:val="auto"/>
          <w:lang w:val="en-GB"/>
        </w:rPr>
        <w:t>increased by 8% to</w:t>
      </w:r>
      <w:r w:rsidRPr="008E6EAF">
        <w:rPr>
          <w:color w:val="auto"/>
          <w:lang w:val="en-GB"/>
        </w:rPr>
        <w:t xml:space="preserve"> EUR </w:t>
      </w:r>
      <w:r w:rsidRPr="008E6EAF">
        <w:rPr>
          <w:color w:val="auto"/>
          <w:lang w:val="en-GB"/>
        </w:rPr>
        <w:t>219</w:t>
      </w:r>
      <w:r w:rsidRPr="008E6EAF">
        <w:rPr>
          <w:color w:val="auto"/>
          <w:lang w:val="en-GB"/>
        </w:rPr>
        <w:t xml:space="preserve"> million (</w:t>
      </w:r>
      <w:r w:rsidRPr="008E6EAF">
        <w:rPr>
          <w:color w:val="auto"/>
          <w:lang w:val="en-GB"/>
        </w:rPr>
        <w:t>202</w:t>
      </w:r>
      <w:r w:rsidRPr="008E6EAF">
        <w:rPr>
          <w:color w:val="auto"/>
          <w:lang w:val="en-GB"/>
        </w:rPr>
        <w:t xml:space="preserve">), while equipment net sales </w:t>
      </w:r>
      <w:r w:rsidRPr="008E6EAF">
        <w:rPr>
          <w:color w:val="auto"/>
          <w:lang w:val="en-GB"/>
        </w:rPr>
        <w:t>decreased by 22% to</w:t>
      </w:r>
      <w:r w:rsidRPr="008E6EAF">
        <w:rPr>
          <w:color w:val="auto"/>
          <w:lang w:val="en-GB"/>
        </w:rPr>
        <w:t xml:space="preserve"> EUR </w:t>
      </w:r>
      <w:r w:rsidRPr="008E6EAF">
        <w:rPr>
          <w:color w:val="auto"/>
          <w:lang w:val="en-GB"/>
        </w:rPr>
        <w:t>588</w:t>
      </w:r>
      <w:r w:rsidRPr="008E6EAF">
        <w:rPr>
          <w:color w:val="auto"/>
          <w:lang w:val="en-GB"/>
        </w:rPr>
        <w:t xml:space="preserve"> million (</w:t>
      </w:r>
      <w:r w:rsidRPr="008E6EAF">
        <w:rPr>
          <w:color w:val="auto"/>
          <w:lang w:val="en-GB"/>
        </w:rPr>
        <w:t>750</w:t>
      </w:r>
      <w:r w:rsidRPr="008E6EAF">
        <w:rPr>
          <w:color w:val="auto"/>
          <w:lang w:val="en-GB"/>
        </w:rPr>
        <w:t xml:space="preserve">). The comparable operating result amounted to EUR </w:t>
      </w:r>
      <w:r w:rsidRPr="008E6EAF">
        <w:rPr>
          <w:color w:val="auto"/>
          <w:lang w:val="en-GB"/>
        </w:rPr>
        <w:t>83</w:t>
      </w:r>
      <w:r w:rsidRPr="008E6EAF">
        <w:rPr>
          <w:color w:val="auto"/>
          <w:lang w:val="en-GB"/>
        </w:rPr>
        <w:t xml:space="preserve"> million (</w:t>
      </w:r>
      <w:r w:rsidRPr="008E6EAF">
        <w:rPr>
          <w:color w:val="auto"/>
          <w:lang w:val="en-GB"/>
        </w:rPr>
        <w:t>60</w:t>
      </w:r>
      <w:r w:rsidRPr="008E6EAF">
        <w:rPr>
          <w:color w:val="auto"/>
          <w:lang w:val="en-GB"/>
        </w:rPr>
        <w:t xml:space="preserve">) or </w:t>
      </w:r>
      <w:r w:rsidRPr="008E6EAF">
        <w:rPr>
          <w:color w:val="auto"/>
          <w:lang w:val="en-GB"/>
        </w:rPr>
        <w:t>10.3</w:t>
      </w:r>
      <w:r w:rsidRPr="008E6EAF">
        <w:rPr>
          <w:color w:val="auto"/>
          <w:lang w:val="en-GB"/>
        </w:rPr>
        <w:t>% of net sales (</w:t>
      </w:r>
      <w:r w:rsidRPr="008E6EAF">
        <w:rPr>
          <w:color w:val="auto"/>
          <w:lang w:val="en-GB"/>
        </w:rPr>
        <w:t>6.3</w:t>
      </w:r>
      <w:r w:rsidRPr="008E6EAF">
        <w:rPr>
          <w:color w:val="auto"/>
          <w:lang w:val="en-GB"/>
        </w:rPr>
        <w:t>).</w:t>
      </w:r>
      <w:r w:rsidRPr="008E6EAF" w:rsidR="00576049">
        <w:rPr>
          <w:color w:val="auto"/>
          <w:lang w:val="en-GB"/>
        </w:rPr>
        <w:t xml:space="preserve"> The operating result for the comparison period was weakened by charges for cost overruns in certain gas solution projects.</w:t>
      </w:r>
    </w:p>
    <w:p w:rsidR="00511D5D" w:rsidRPr="00EF6F8D" w:rsidP="0033218B" w14:paraId="16621C1D" w14:textId="0B5B5EA8">
      <w:pPr>
        <w:pStyle w:val="WHeading40"/>
      </w:pPr>
      <w:r w:rsidRPr="00EF6F8D">
        <w:t xml:space="preserve">Wärtsilä </w:t>
      </w:r>
      <w:r>
        <w:t>Voyage</w:t>
      </w:r>
    </w:p>
    <w:p w:rsidR="00511D5D" w:rsidRPr="00DC3F03" w:rsidP="00511D5D" w14:paraId="554E5956" w14:textId="41D04019">
      <w:pPr>
        <w:pStyle w:val="Wnormal0"/>
        <w:rPr>
          <w:lang w:val="en-GB"/>
        </w:rPr>
      </w:pPr>
      <w:r>
        <w:rPr>
          <w:lang w:val="en-GB"/>
        </w:rPr>
        <w:t>Voyage’s o</w:t>
      </w:r>
      <w:r w:rsidRPr="00511D5D">
        <w:rPr>
          <w:lang w:val="en-GB"/>
        </w:rPr>
        <w:t xml:space="preserve">rder intake in </w:t>
      </w:r>
      <w:r>
        <w:rPr>
          <w:lang w:val="en-GB"/>
        </w:rPr>
        <w:t>2020</w:t>
      </w:r>
      <w:r w:rsidRPr="00511D5D">
        <w:rPr>
          <w:lang w:val="en-GB"/>
        </w:rPr>
        <w:t xml:space="preserve"> </w:t>
      </w:r>
      <w:r w:rsidRPr="00511D5D">
        <w:rPr>
          <w:lang w:val="en-GB"/>
        </w:rPr>
        <w:t>decreased by 16% to</w:t>
      </w:r>
      <w:r w:rsidRPr="00511D5D">
        <w:rPr>
          <w:lang w:val="en-GB"/>
        </w:rPr>
        <w:t xml:space="preserve"> EUR </w:t>
      </w:r>
      <w:r w:rsidRPr="00511D5D">
        <w:rPr>
          <w:lang w:val="en-GB"/>
        </w:rPr>
        <w:t>262</w:t>
      </w:r>
      <w:r w:rsidRPr="00511D5D">
        <w:rPr>
          <w:lang w:val="en-GB"/>
        </w:rPr>
        <w:t xml:space="preserve"> million (</w:t>
      </w:r>
      <w:r w:rsidRPr="00511D5D">
        <w:rPr>
          <w:lang w:val="en-GB"/>
        </w:rPr>
        <w:t>310</w:t>
      </w:r>
      <w:r w:rsidRPr="00511D5D">
        <w:rPr>
          <w:lang w:val="en-GB"/>
        </w:rPr>
        <w:t xml:space="preserve">) compared to the previous year. Book-to-bill was </w:t>
      </w:r>
      <w:r w:rsidRPr="00511D5D">
        <w:rPr>
          <w:lang w:val="en-GB"/>
        </w:rPr>
        <w:t>1.06</w:t>
      </w:r>
      <w:r w:rsidRPr="00511D5D">
        <w:rPr>
          <w:lang w:val="en-GB"/>
        </w:rPr>
        <w:t xml:space="preserve"> (</w:t>
      </w:r>
      <w:r w:rsidRPr="00511D5D">
        <w:rPr>
          <w:lang w:val="en-GB"/>
        </w:rPr>
        <w:t>1.11</w:t>
      </w:r>
      <w:r w:rsidRPr="00511D5D">
        <w:rPr>
          <w:lang w:val="en-GB"/>
        </w:rPr>
        <w:t xml:space="preserve">). Service order intake </w:t>
      </w:r>
      <w:r w:rsidRPr="00511D5D">
        <w:rPr>
          <w:lang w:val="en-GB"/>
        </w:rPr>
        <w:t>decreased by 22% to</w:t>
      </w:r>
      <w:r w:rsidRPr="00511D5D">
        <w:rPr>
          <w:lang w:val="en-GB"/>
        </w:rPr>
        <w:t xml:space="preserve"> EUR </w:t>
      </w:r>
      <w:r w:rsidRPr="00511D5D">
        <w:rPr>
          <w:lang w:val="en-GB"/>
        </w:rPr>
        <w:t>92</w:t>
      </w:r>
      <w:r w:rsidRPr="00511D5D">
        <w:rPr>
          <w:lang w:val="en-GB"/>
        </w:rPr>
        <w:t xml:space="preserve"> million (</w:t>
      </w:r>
      <w:r w:rsidRPr="00511D5D">
        <w:rPr>
          <w:lang w:val="en-GB"/>
        </w:rPr>
        <w:t>117</w:t>
      </w:r>
      <w:r w:rsidRPr="00511D5D">
        <w:rPr>
          <w:lang w:val="en-GB"/>
        </w:rPr>
        <w:t xml:space="preserve">), while equipment order intake </w:t>
      </w:r>
      <w:r w:rsidRPr="00511D5D">
        <w:rPr>
          <w:lang w:val="en-GB"/>
        </w:rPr>
        <w:t>decreased by 12% to</w:t>
      </w:r>
      <w:r w:rsidRPr="00DC3F03">
        <w:rPr>
          <w:lang w:val="en-GB"/>
        </w:rPr>
        <w:t xml:space="preserve"> EUR </w:t>
      </w:r>
      <w:r w:rsidRPr="00DC3F03">
        <w:rPr>
          <w:lang w:val="en-GB"/>
        </w:rPr>
        <w:t>170</w:t>
      </w:r>
      <w:r w:rsidRPr="00DC3F03">
        <w:rPr>
          <w:lang w:val="en-GB"/>
        </w:rPr>
        <w:t xml:space="preserve"> million (</w:t>
      </w:r>
      <w:r w:rsidRPr="00DC3F03">
        <w:rPr>
          <w:lang w:val="en-GB"/>
        </w:rPr>
        <w:t>193</w:t>
      </w:r>
      <w:r w:rsidRPr="00DC3F03">
        <w:rPr>
          <w:lang w:val="en-GB"/>
        </w:rPr>
        <w:t xml:space="preserve">). </w:t>
      </w:r>
      <w:r w:rsidRPr="00DC3F03" w:rsidR="00C516CB">
        <w:rPr>
          <w:color w:val="auto"/>
          <w:lang w:val="en-GB"/>
        </w:rPr>
        <w:t xml:space="preserve">While COVID-19 put pressure on orders received from the cruise industry, order intake for fleet optimisation solutions developed well and Wärtsilä also received contracts for major newbuild projects in other segments. </w:t>
      </w:r>
      <w:r w:rsidRPr="00DC3F03">
        <w:rPr>
          <w:color w:val="auto"/>
          <w:lang w:val="en-GB"/>
        </w:rPr>
        <w:t>Highlights</w:t>
      </w:r>
      <w:r w:rsidRPr="00DC3F03">
        <w:rPr>
          <w:color w:val="auto"/>
          <w:lang w:val="en-GB"/>
        </w:rPr>
        <w:t xml:space="preserve"> of the year included a contract with UltraShip Denmark to install </w:t>
      </w:r>
      <w:r w:rsidRPr="00DC3F03" w:rsidR="00337B93">
        <w:rPr>
          <w:lang w:val="en-GB"/>
        </w:rPr>
        <w:t>the cloud-based Wärtsilä Fleet Operations Solution (</w:t>
      </w:r>
      <w:r w:rsidRPr="00DC3F03">
        <w:rPr>
          <w:color w:val="auto"/>
          <w:lang w:val="en-GB"/>
        </w:rPr>
        <w:t>FOS</w:t>
      </w:r>
      <w:r w:rsidRPr="00DC3F03" w:rsidR="00337B93">
        <w:rPr>
          <w:color w:val="auto"/>
          <w:lang w:val="en-GB"/>
        </w:rPr>
        <w:t>)</w:t>
      </w:r>
      <w:r w:rsidRPr="00DC3F03">
        <w:rPr>
          <w:color w:val="auto"/>
          <w:lang w:val="en-GB"/>
        </w:rPr>
        <w:t xml:space="preserve"> across their entire fleet in a move that will enable direct and real-time connection between shore and vessel systems for collaborat</w:t>
      </w:r>
      <w:r w:rsidRPr="00DC3F03">
        <w:rPr>
          <w:color w:val="auto"/>
          <w:lang w:val="en-GB"/>
        </w:rPr>
        <w:t xml:space="preserve">ive voyage planning and execution. </w:t>
      </w:r>
      <w:r w:rsidRPr="00DC3F03">
        <w:rPr>
          <w:lang w:val="en-GB"/>
        </w:rPr>
        <w:t xml:space="preserve">The order book at the end of the year </w:t>
      </w:r>
      <w:r w:rsidRPr="00DC3F03">
        <w:rPr>
          <w:lang w:val="en-GB"/>
        </w:rPr>
        <w:t>was stable at</w:t>
      </w:r>
      <w:r w:rsidRPr="00DC3F03">
        <w:rPr>
          <w:lang w:val="en-GB"/>
        </w:rPr>
        <w:t xml:space="preserve"> EUR </w:t>
      </w:r>
      <w:r w:rsidRPr="00DC3F03">
        <w:rPr>
          <w:lang w:val="en-GB"/>
        </w:rPr>
        <w:t>275</w:t>
      </w:r>
      <w:r w:rsidRPr="00DC3F03">
        <w:rPr>
          <w:lang w:val="en-GB"/>
        </w:rPr>
        <w:t xml:space="preserve"> million (</w:t>
      </w:r>
      <w:r w:rsidRPr="00DC3F03">
        <w:rPr>
          <w:lang w:val="en-GB"/>
        </w:rPr>
        <w:t>274</w:t>
      </w:r>
      <w:r w:rsidRPr="00DC3F03">
        <w:rPr>
          <w:lang w:val="en-GB"/>
        </w:rPr>
        <w:t>)</w:t>
      </w:r>
      <w:bookmarkStart w:id="29" w:name="_Hlk45121881"/>
      <w:r w:rsidRPr="00DC3F03">
        <w:rPr>
          <w:lang w:val="en-GB"/>
        </w:rPr>
        <w:t>.</w:t>
      </w:r>
    </w:p>
    <w:p w:rsidR="00511D5D" w:rsidRPr="00511D5D" w:rsidP="00511D5D" w14:paraId="6201CB7D" w14:textId="071D78C6">
      <w:pPr>
        <w:pStyle w:val="Wnormal0"/>
        <w:rPr>
          <w:lang w:val="en-GB"/>
        </w:rPr>
      </w:pPr>
      <w:bookmarkEnd w:id="29"/>
      <w:r w:rsidRPr="00DC3F03">
        <w:rPr>
          <w:lang w:val="en-GB"/>
        </w:rPr>
        <w:t xml:space="preserve">Net sales </w:t>
      </w:r>
      <w:r w:rsidRPr="00DC3F03">
        <w:rPr>
          <w:lang w:val="en-GB"/>
        </w:rPr>
        <w:t>decreased by 12% to</w:t>
      </w:r>
      <w:r w:rsidRPr="00DC3F03">
        <w:rPr>
          <w:lang w:val="en-GB"/>
        </w:rPr>
        <w:t xml:space="preserve"> EUR </w:t>
      </w:r>
      <w:r w:rsidRPr="00DC3F03">
        <w:rPr>
          <w:lang w:val="en-GB"/>
        </w:rPr>
        <w:t>248</w:t>
      </w:r>
      <w:r w:rsidRPr="00DC3F03">
        <w:rPr>
          <w:lang w:val="en-GB"/>
        </w:rPr>
        <w:t xml:space="preserve"> million (</w:t>
      </w:r>
      <w:r w:rsidRPr="00DC3F03">
        <w:rPr>
          <w:lang w:val="en-GB"/>
        </w:rPr>
        <w:t>280</w:t>
      </w:r>
      <w:r w:rsidRPr="00DC3F03">
        <w:rPr>
          <w:lang w:val="en-GB"/>
        </w:rPr>
        <w:t xml:space="preserve">) compared to the previous year. </w:t>
      </w:r>
      <w:bookmarkStart w:id="30" w:name="_Hlk45121978"/>
      <w:r w:rsidRPr="00DC3F03">
        <w:rPr>
          <w:color w:val="auto"/>
          <w:lang w:val="en-GB"/>
        </w:rPr>
        <w:t xml:space="preserve">The decline was primarily due to the COVID-19 pandemic, which has resulted in project postponements and lower transactional service business. </w:t>
      </w:r>
      <w:bookmarkEnd w:id="30"/>
      <w:r w:rsidRPr="00DC3F03">
        <w:rPr>
          <w:lang w:val="en-GB"/>
        </w:rPr>
        <w:t xml:space="preserve">Service net </w:t>
      </w:r>
      <w:r w:rsidRPr="00DC3F03">
        <w:rPr>
          <w:lang w:val="en-GB"/>
        </w:rPr>
        <w:t xml:space="preserve">sales </w:t>
      </w:r>
      <w:r w:rsidRPr="00DC3F03">
        <w:rPr>
          <w:lang w:val="en-GB"/>
        </w:rPr>
        <w:t>decreased by 18% to</w:t>
      </w:r>
      <w:r w:rsidRPr="00DC3F03">
        <w:rPr>
          <w:lang w:val="en-GB"/>
        </w:rPr>
        <w:t xml:space="preserve"> EUR </w:t>
      </w:r>
      <w:r w:rsidRPr="00DC3F03">
        <w:rPr>
          <w:lang w:val="en-GB"/>
        </w:rPr>
        <w:t>85</w:t>
      </w:r>
      <w:r w:rsidRPr="00DC3F03">
        <w:rPr>
          <w:lang w:val="en-GB"/>
        </w:rPr>
        <w:t xml:space="preserve"> million (</w:t>
      </w:r>
      <w:r w:rsidRPr="00DC3F03">
        <w:rPr>
          <w:lang w:val="en-GB"/>
        </w:rPr>
        <w:t>103</w:t>
      </w:r>
      <w:r w:rsidRPr="00DC3F03">
        <w:rPr>
          <w:lang w:val="en-GB"/>
        </w:rPr>
        <w:t xml:space="preserve">), while equipment net sales </w:t>
      </w:r>
      <w:r w:rsidRPr="00DC3F03">
        <w:rPr>
          <w:lang w:val="en-GB"/>
        </w:rPr>
        <w:t>decreased by 8% to</w:t>
      </w:r>
      <w:r w:rsidRPr="00DC3F03">
        <w:rPr>
          <w:lang w:val="en-GB"/>
        </w:rPr>
        <w:t xml:space="preserve"> EUR </w:t>
      </w:r>
      <w:r w:rsidRPr="00DC3F03">
        <w:rPr>
          <w:lang w:val="en-GB"/>
        </w:rPr>
        <w:t>163</w:t>
      </w:r>
      <w:r w:rsidRPr="00DC3F03">
        <w:rPr>
          <w:lang w:val="en-GB"/>
        </w:rPr>
        <w:t xml:space="preserve"> million (</w:t>
      </w:r>
      <w:r w:rsidRPr="00DC3F03">
        <w:rPr>
          <w:lang w:val="en-GB"/>
        </w:rPr>
        <w:t>177</w:t>
      </w:r>
      <w:r w:rsidRPr="00DC3F03">
        <w:rPr>
          <w:lang w:val="en-GB"/>
        </w:rPr>
        <w:t xml:space="preserve">). The comparable operating result amounted to EUR </w:t>
      </w:r>
      <w:r w:rsidRPr="00DC3F03">
        <w:rPr>
          <w:lang w:val="en-GB"/>
        </w:rPr>
        <w:t>-41</w:t>
      </w:r>
      <w:r w:rsidRPr="00DC3F03">
        <w:rPr>
          <w:lang w:val="en-GB"/>
        </w:rPr>
        <w:t xml:space="preserve"> million (</w:t>
      </w:r>
      <w:r w:rsidRPr="00DC3F03">
        <w:rPr>
          <w:lang w:val="en-GB"/>
        </w:rPr>
        <w:t>-31</w:t>
      </w:r>
      <w:r w:rsidRPr="00DC3F03">
        <w:rPr>
          <w:lang w:val="en-GB"/>
        </w:rPr>
        <w:t xml:space="preserve">) or </w:t>
      </w:r>
      <w:r w:rsidRPr="00DC3F03">
        <w:rPr>
          <w:lang w:val="en-GB"/>
        </w:rPr>
        <w:t>-16.5</w:t>
      </w:r>
      <w:r w:rsidRPr="00DC3F03">
        <w:rPr>
          <w:lang w:val="en-GB"/>
        </w:rPr>
        <w:t>% of net sales (</w:t>
      </w:r>
      <w:r w:rsidRPr="00DC3F03">
        <w:rPr>
          <w:lang w:val="en-GB"/>
        </w:rPr>
        <w:t>-11.2</w:t>
      </w:r>
      <w:r w:rsidRPr="00DC3F03">
        <w:rPr>
          <w:lang w:val="en-GB"/>
        </w:rPr>
        <w:t xml:space="preserve">). </w:t>
      </w:r>
      <w:bookmarkStart w:id="31" w:name="_Hlk53411626"/>
      <w:r w:rsidRPr="00DC3F03" w:rsidR="00C516CB">
        <w:rPr>
          <w:lang w:val="en-GB"/>
        </w:rPr>
        <w:t xml:space="preserve">The result was negatively impacted by lower sales volumes and a less favourable service mix. In addition, investments in digital competences have been increased to further accelerate the execution of Wärtsilä’s Smart Marine strategy. In both the </w:t>
      </w:r>
      <w:r w:rsidRPr="00DC3F03" w:rsidR="00DC3F03">
        <w:rPr>
          <w:lang w:val="en-GB"/>
        </w:rPr>
        <w:t>reporting</w:t>
      </w:r>
      <w:r w:rsidRPr="00DC3F03" w:rsidR="00C516CB">
        <w:rPr>
          <w:lang w:val="en-GB"/>
        </w:rPr>
        <w:t xml:space="preserve"> and the </w:t>
      </w:r>
      <w:r w:rsidRPr="00DC3F03" w:rsidR="00C516CB">
        <w:rPr>
          <w:lang w:val="en-GB"/>
        </w:rPr>
        <w:t>comparison period, the operating result was burdened by amortisation resulting from various acquisitions.</w:t>
      </w:r>
      <w:bookmarkEnd w:id="31"/>
    </w:p>
    <w:p w:rsidR="00B91B7E" w:rsidRPr="0012002E" w:rsidP="0033218B" w14:paraId="1C885F80" w14:textId="74535C07">
      <w:pPr>
        <w:pStyle w:val="WHeading40"/>
      </w:pPr>
      <w:r w:rsidRPr="0012002E">
        <w:t xml:space="preserve">Wärtsilä Energy </w:t>
      </w:r>
    </w:p>
    <w:p w:rsidR="00041CD2" w:rsidRPr="00041CD2" w:rsidP="00041CD2" w14:paraId="2E7BA951" w14:textId="60E3213B">
      <w:pPr>
        <w:pStyle w:val="Wnormal0"/>
        <w:rPr>
          <w:lang w:val="en-GB"/>
        </w:rPr>
      </w:pPr>
      <w:r>
        <w:rPr>
          <w:lang w:val="en-GB"/>
        </w:rPr>
        <w:t>Energy’s o</w:t>
      </w:r>
      <w:r w:rsidRPr="00041CD2">
        <w:rPr>
          <w:lang w:val="en-GB"/>
        </w:rPr>
        <w:t xml:space="preserve">rder intake in </w:t>
      </w:r>
      <w:r>
        <w:rPr>
          <w:lang w:val="en-GB"/>
        </w:rPr>
        <w:t>2020</w:t>
      </w:r>
      <w:r w:rsidRPr="00041CD2">
        <w:rPr>
          <w:lang w:val="en-GB"/>
        </w:rPr>
        <w:t xml:space="preserve"> </w:t>
      </w:r>
      <w:r w:rsidRPr="00041CD2">
        <w:rPr>
          <w:lang w:val="en-GB"/>
        </w:rPr>
        <w:t>decreased by 7% to</w:t>
      </w:r>
      <w:r w:rsidRPr="00041CD2">
        <w:rPr>
          <w:lang w:val="en-GB"/>
        </w:rPr>
        <w:t xml:space="preserve"> EUR </w:t>
      </w:r>
      <w:r w:rsidRPr="00041CD2">
        <w:rPr>
          <w:lang w:val="en-GB"/>
        </w:rPr>
        <w:t>1,653</w:t>
      </w:r>
      <w:r w:rsidRPr="00041CD2">
        <w:rPr>
          <w:lang w:val="en-GB"/>
        </w:rPr>
        <w:t xml:space="preserve"> million (</w:t>
      </w:r>
      <w:r w:rsidRPr="00041CD2">
        <w:rPr>
          <w:lang w:val="en-GB"/>
        </w:rPr>
        <w:t>1,769</w:t>
      </w:r>
      <w:r w:rsidRPr="00041CD2">
        <w:rPr>
          <w:lang w:val="en-GB"/>
        </w:rPr>
        <w:t xml:space="preserve">) compared to the previous year. Book-to-bill was </w:t>
      </w:r>
      <w:r w:rsidRPr="00041CD2">
        <w:rPr>
          <w:lang w:val="en-GB"/>
        </w:rPr>
        <w:t>1.02</w:t>
      </w:r>
      <w:r w:rsidRPr="00041CD2">
        <w:rPr>
          <w:lang w:val="en-GB"/>
        </w:rPr>
        <w:t xml:space="preserve"> (</w:t>
      </w:r>
      <w:r w:rsidRPr="00041CD2">
        <w:rPr>
          <w:lang w:val="en-GB"/>
        </w:rPr>
        <w:t>0.99</w:t>
      </w:r>
      <w:r w:rsidRPr="00041CD2">
        <w:rPr>
          <w:lang w:val="en-GB"/>
        </w:rPr>
        <w:t xml:space="preserve">). Service order intake </w:t>
      </w:r>
      <w:r w:rsidRPr="00041CD2">
        <w:rPr>
          <w:lang w:val="en-GB"/>
        </w:rPr>
        <w:t>decreased by 9% to</w:t>
      </w:r>
      <w:r w:rsidRPr="00041CD2">
        <w:rPr>
          <w:lang w:val="en-GB"/>
        </w:rPr>
        <w:t xml:space="preserve"> EUR </w:t>
      </w:r>
      <w:r w:rsidRPr="00041CD2">
        <w:rPr>
          <w:lang w:val="en-GB"/>
        </w:rPr>
        <w:t>840</w:t>
      </w:r>
      <w:r w:rsidRPr="00041CD2">
        <w:rPr>
          <w:lang w:val="en-GB"/>
        </w:rPr>
        <w:t xml:space="preserve"> million (</w:t>
      </w:r>
      <w:r w:rsidRPr="00041CD2">
        <w:rPr>
          <w:lang w:val="en-GB"/>
        </w:rPr>
        <w:t>920</w:t>
      </w:r>
      <w:r w:rsidRPr="00041CD2">
        <w:rPr>
          <w:lang w:val="en-GB"/>
        </w:rPr>
        <w:t xml:space="preserve">), while equipment order intake </w:t>
      </w:r>
      <w:r w:rsidRPr="00041CD2">
        <w:rPr>
          <w:lang w:val="en-GB"/>
        </w:rPr>
        <w:t>decreased by 4% to</w:t>
      </w:r>
      <w:r w:rsidRPr="00041CD2">
        <w:rPr>
          <w:lang w:val="en-GB"/>
        </w:rPr>
        <w:t xml:space="preserve"> EUR </w:t>
      </w:r>
      <w:r w:rsidRPr="00041CD2">
        <w:rPr>
          <w:lang w:val="en-GB"/>
        </w:rPr>
        <w:t>813</w:t>
      </w:r>
      <w:r w:rsidRPr="00041CD2">
        <w:rPr>
          <w:lang w:val="en-GB"/>
        </w:rPr>
        <w:t xml:space="preserve"> million (</w:t>
      </w:r>
      <w:r w:rsidRPr="00041CD2">
        <w:rPr>
          <w:lang w:val="en-GB"/>
        </w:rPr>
        <w:t>849</w:t>
      </w:r>
      <w:r w:rsidRPr="00041CD2">
        <w:rPr>
          <w:lang w:val="en-GB"/>
        </w:rPr>
        <w:t xml:space="preserve">). </w:t>
      </w:r>
      <w:r w:rsidRPr="00BF4166">
        <w:rPr>
          <w:lang w:val="en-GB"/>
        </w:rPr>
        <w:t>Demand for equipment was evenly split across geographical areas. Noteworthy equipment orders received during the year included a 200 MW flexible baseload plant in South</w:t>
      </w:r>
      <w:r w:rsidRPr="00BF4166">
        <w:rPr>
          <w:lang w:val="en-GB"/>
        </w:rPr>
        <w:t xml:space="preserve"> America to support the integration of renewables. Activity in the </w:t>
      </w:r>
      <w:r w:rsidR="00BF4166">
        <w:rPr>
          <w:lang w:val="en-GB"/>
        </w:rPr>
        <w:t xml:space="preserve">energy </w:t>
      </w:r>
      <w:r w:rsidRPr="00BF4166">
        <w:rPr>
          <w:lang w:val="en-GB"/>
        </w:rPr>
        <w:t xml:space="preserve">storage market was resilient, with orders including a 90 MW/90 MWh storage system to provide flexibility and grid stability in South East Asia, an order for a 123 MW/185 MWh storage </w:t>
      </w:r>
      <w:r w:rsidRPr="00BF4166">
        <w:rPr>
          <w:lang w:val="en-GB"/>
        </w:rPr>
        <w:t>system to support a major renewable project in the USA, as well as the first-ever GridSolv Quantum storage system in the USA. Received service orders included a 5-year maintenance agreement to support the availability, performance, and reliability of a 200</w:t>
      </w:r>
      <w:r w:rsidRPr="00BF4166">
        <w:rPr>
          <w:lang w:val="en-GB"/>
        </w:rPr>
        <w:t xml:space="preserve"> MW power plant in Cambodia, as well as a gas conversion project in Brazil along with a related 10-year operations and maintenance agreement renewal.</w:t>
      </w:r>
      <w:r w:rsidRPr="001B7667">
        <w:rPr>
          <w:lang w:val="en-GB"/>
        </w:rPr>
        <w:t xml:space="preserve"> </w:t>
      </w:r>
      <w:r w:rsidRPr="00041CD2">
        <w:rPr>
          <w:lang w:val="en-GB"/>
        </w:rPr>
        <w:t xml:space="preserve">The order book at the end of the </w:t>
      </w:r>
      <w:r>
        <w:rPr>
          <w:lang w:val="en-GB"/>
        </w:rPr>
        <w:t>year</w:t>
      </w:r>
      <w:r w:rsidRPr="00041CD2">
        <w:rPr>
          <w:lang w:val="en-GB"/>
        </w:rPr>
        <w:t xml:space="preserve"> </w:t>
      </w:r>
      <w:r w:rsidRPr="00041CD2">
        <w:rPr>
          <w:lang w:val="en-GB"/>
        </w:rPr>
        <w:t>decreased by 9% to</w:t>
      </w:r>
      <w:r w:rsidRPr="00041CD2">
        <w:rPr>
          <w:lang w:val="en-GB"/>
        </w:rPr>
        <w:t xml:space="preserve"> EUR </w:t>
      </w:r>
      <w:r w:rsidRPr="00041CD2">
        <w:rPr>
          <w:lang w:val="en-GB"/>
        </w:rPr>
        <w:t>1,830</w:t>
      </w:r>
      <w:r w:rsidRPr="00041CD2">
        <w:rPr>
          <w:lang w:val="en-GB"/>
        </w:rPr>
        <w:t xml:space="preserve"> million (</w:t>
      </w:r>
      <w:r w:rsidRPr="00041CD2">
        <w:rPr>
          <w:lang w:val="en-GB"/>
        </w:rPr>
        <w:t>2,014</w:t>
      </w:r>
      <w:r w:rsidRPr="00041CD2">
        <w:rPr>
          <w:lang w:val="en-GB"/>
        </w:rPr>
        <w:t>).</w:t>
      </w:r>
    </w:p>
    <w:p w:rsidR="00AF6566" w:rsidRPr="00041CD2" w:rsidP="00041CD2" w14:paraId="4A4D8085" w14:textId="698B9203">
      <w:pPr>
        <w:pStyle w:val="Wnormal0"/>
        <w:rPr>
          <w:color w:val="FF0000"/>
          <w:lang w:val="en-GB"/>
        </w:rPr>
      </w:pPr>
      <w:r w:rsidRPr="00041CD2">
        <w:rPr>
          <w:lang w:val="en-GB"/>
        </w:rPr>
        <w:t xml:space="preserve">Net sales </w:t>
      </w:r>
      <w:r w:rsidRPr="00041CD2">
        <w:rPr>
          <w:lang w:val="en-GB"/>
        </w:rPr>
        <w:t>decreased by 9% to</w:t>
      </w:r>
      <w:r w:rsidRPr="00041CD2">
        <w:rPr>
          <w:lang w:val="en-GB"/>
        </w:rPr>
        <w:t xml:space="preserve"> EUR </w:t>
      </w:r>
      <w:r w:rsidRPr="00041CD2">
        <w:rPr>
          <w:lang w:val="en-GB"/>
        </w:rPr>
        <w:t>1,620</w:t>
      </w:r>
      <w:r w:rsidRPr="00041CD2">
        <w:rPr>
          <w:lang w:val="en-GB"/>
        </w:rPr>
        <w:t xml:space="preserve"> million (</w:t>
      </w:r>
      <w:r w:rsidRPr="00041CD2">
        <w:rPr>
          <w:lang w:val="en-GB"/>
        </w:rPr>
        <w:t>1,779</w:t>
      </w:r>
      <w:r w:rsidRPr="00041CD2">
        <w:rPr>
          <w:lang w:val="en-GB"/>
        </w:rPr>
        <w:t xml:space="preserve">) compared to the previous year. Service net sales </w:t>
      </w:r>
      <w:r w:rsidRPr="00041CD2">
        <w:rPr>
          <w:lang w:val="en-GB"/>
        </w:rPr>
        <w:t>decreased by 2% to</w:t>
      </w:r>
      <w:r w:rsidRPr="00041CD2">
        <w:rPr>
          <w:lang w:val="en-GB"/>
        </w:rPr>
        <w:t xml:space="preserve"> EUR </w:t>
      </w:r>
      <w:r w:rsidRPr="00041CD2">
        <w:rPr>
          <w:lang w:val="en-GB"/>
        </w:rPr>
        <w:t>782</w:t>
      </w:r>
      <w:r w:rsidRPr="00041CD2">
        <w:rPr>
          <w:lang w:val="en-GB"/>
        </w:rPr>
        <w:t xml:space="preserve"> million (</w:t>
      </w:r>
      <w:r w:rsidRPr="00041CD2">
        <w:rPr>
          <w:lang w:val="en-GB"/>
        </w:rPr>
        <w:t>802</w:t>
      </w:r>
      <w:r w:rsidRPr="00041CD2">
        <w:rPr>
          <w:lang w:val="en-GB"/>
        </w:rPr>
        <w:t xml:space="preserve">), while equipment net sales </w:t>
      </w:r>
      <w:r w:rsidRPr="00041CD2">
        <w:rPr>
          <w:lang w:val="en-GB"/>
        </w:rPr>
        <w:t>decreased by 14% to</w:t>
      </w:r>
      <w:r w:rsidRPr="00041CD2">
        <w:rPr>
          <w:lang w:val="en-GB"/>
        </w:rPr>
        <w:t xml:space="preserve"> EUR </w:t>
      </w:r>
      <w:r w:rsidRPr="00041CD2">
        <w:rPr>
          <w:lang w:val="en-GB"/>
        </w:rPr>
        <w:t>838</w:t>
      </w:r>
      <w:r w:rsidRPr="00041CD2">
        <w:rPr>
          <w:lang w:val="en-GB"/>
        </w:rPr>
        <w:t xml:space="preserve"> mi</w:t>
      </w:r>
      <w:r w:rsidRPr="00041CD2">
        <w:rPr>
          <w:lang w:val="en-GB"/>
        </w:rPr>
        <w:t>llion (</w:t>
      </w:r>
      <w:r w:rsidRPr="00041CD2">
        <w:rPr>
          <w:lang w:val="en-GB"/>
        </w:rPr>
        <w:t>977</w:t>
      </w:r>
      <w:r w:rsidRPr="00041CD2">
        <w:rPr>
          <w:lang w:val="en-GB"/>
        </w:rPr>
        <w:t xml:space="preserve">). The comparable operating result amounted to EUR </w:t>
      </w:r>
      <w:r w:rsidRPr="00041CD2">
        <w:rPr>
          <w:lang w:val="en-GB"/>
        </w:rPr>
        <w:t>101</w:t>
      </w:r>
      <w:r w:rsidRPr="00041CD2">
        <w:rPr>
          <w:lang w:val="en-GB"/>
        </w:rPr>
        <w:t xml:space="preserve"> million (</w:t>
      </w:r>
      <w:r w:rsidRPr="00041CD2">
        <w:rPr>
          <w:lang w:val="en-GB"/>
        </w:rPr>
        <w:t>155</w:t>
      </w:r>
      <w:r w:rsidRPr="00041CD2">
        <w:rPr>
          <w:lang w:val="en-GB"/>
        </w:rPr>
        <w:t xml:space="preserve">) or </w:t>
      </w:r>
      <w:r w:rsidRPr="00041CD2">
        <w:rPr>
          <w:lang w:val="en-GB"/>
        </w:rPr>
        <w:t>6.3</w:t>
      </w:r>
      <w:r w:rsidRPr="00041CD2">
        <w:rPr>
          <w:lang w:val="en-GB"/>
        </w:rPr>
        <w:t xml:space="preserve">% </w:t>
      </w:r>
      <w:r w:rsidRPr="00041CD2">
        <w:rPr>
          <w:lang w:val="en-GB"/>
        </w:rPr>
        <w:t>of net sales (</w:t>
      </w:r>
      <w:r w:rsidRPr="00041CD2">
        <w:rPr>
          <w:lang w:val="en-GB"/>
        </w:rPr>
        <w:t>8.7</w:t>
      </w:r>
      <w:r w:rsidRPr="00E6558C">
        <w:rPr>
          <w:lang w:val="en-GB"/>
        </w:rPr>
        <w:t xml:space="preserve">). </w:t>
      </w:r>
      <w:r w:rsidRPr="00E6558C">
        <w:rPr>
          <w:color w:val="auto"/>
          <w:lang w:val="en-GB"/>
        </w:rPr>
        <w:t>The result was burdened by COVID-19 impacts in the form of delivery delays, weaker absorption of fixed costs, and increased costs for project execution, as well as by the delivery of projects</w:t>
      </w:r>
      <w:r w:rsidRPr="00E6558C">
        <w:rPr>
          <w:color w:val="auto"/>
          <w:lang w:val="en-GB"/>
        </w:rPr>
        <w:t xml:space="preserve"> communicated in 2019 to be affected by cost overruns.</w:t>
      </w:r>
    </w:p>
    <w:p w:rsidR="00F66F00" w:rsidRPr="00EF6F8D" w:rsidP="00EF6F8D" w14:textId="07094898">
      <w:pPr>
        <w:pStyle w:val="Heading3"/>
      </w:pPr>
      <w:bookmarkStart w:id="32" w:name="RG_MARKER_5065"/>
      <w:r w:rsidRPr="00280C1D">
        <w:t>Other business activities</w:t>
      </w:r>
      <w:bookmarkEnd w:id="32"/>
    </w:p>
    <w:p w:rsidR="00F66F00" w:rsidRPr="00EF6F8D" w:rsidP="00EF6F8D" w14:textId="4C59B165">
      <w:pPr>
        <w:pStyle w:val="Heading4"/>
      </w:pPr>
      <w:r w:rsidRPr="00EF6F8D">
        <w:t xml:space="preserve">Wärtsilä </w:t>
      </w:r>
      <w:r>
        <w:t>Portfolio Business</w:t>
      </w:r>
    </w:p>
    <w:p w:rsidR="00280C1D" w:rsidRPr="00365B17" w:rsidP="00280C1D" w14:paraId="0A5EBF5F" w14:textId="685ACB4D">
      <w:pPr>
        <w:pStyle w:val="Wnormal0"/>
        <w:rPr>
          <w:lang w:val="en-GB"/>
        </w:rPr>
      </w:pPr>
      <w:r>
        <w:t>Portfolio Business’</w:t>
      </w:r>
      <w:r w:rsidRPr="00280C1D">
        <w:rPr>
          <w:lang w:val="en-GB"/>
        </w:rPr>
        <w:t xml:space="preserve"> </w:t>
      </w:r>
      <w:r>
        <w:rPr>
          <w:lang w:val="en-GB"/>
        </w:rPr>
        <w:t>o</w:t>
      </w:r>
      <w:r w:rsidRPr="00280C1D">
        <w:rPr>
          <w:lang w:val="en-GB"/>
        </w:rPr>
        <w:t xml:space="preserve">rder intake in </w:t>
      </w:r>
      <w:r>
        <w:rPr>
          <w:lang w:val="en-GB"/>
        </w:rPr>
        <w:t>2020</w:t>
      </w:r>
      <w:r w:rsidRPr="00280C1D">
        <w:rPr>
          <w:lang w:val="en-GB"/>
        </w:rPr>
        <w:t xml:space="preserve"> </w:t>
      </w:r>
      <w:r w:rsidRPr="00280C1D">
        <w:rPr>
          <w:lang w:val="en-GB"/>
        </w:rPr>
        <w:t>decreased by 32% to</w:t>
      </w:r>
      <w:r w:rsidRPr="00280C1D">
        <w:rPr>
          <w:lang w:val="en-GB"/>
        </w:rPr>
        <w:t xml:space="preserve"> EUR </w:t>
      </w:r>
      <w:r w:rsidRPr="00280C1D">
        <w:rPr>
          <w:lang w:val="en-GB"/>
        </w:rPr>
        <w:t>168</w:t>
      </w:r>
      <w:r w:rsidRPr="00280C1D">
        <w:rPr>
          <w:lang w:val="en-GB"/>
        </w:rPr>
        <w:t xml:space="preserve"> million (</w:t>
      </w:r>
      <w:r w:rsidRPr="00280C1D">
        <w:rPr>
          <w:lang w:val="en-GB"/>
        </w:rPr>
        <w:t>248</w:t>
      </w:r>
      <w:r w:rsidRPr="00280C1D">
        <w:rPr>
          <w:lang w:val="en-GB"/>
        </w:rPr>
        <w:t xml:space="preserve">) compared to the previous </w:t>
      </w:r>
      <w:r w:rsidRPr="00365B17">
        <w:rPr>
          <w:lang w:val="en-GB"/>
        </w:rPr>
        <w:t xml:space="preserve">year. </w:t>
      </w:r>
      <w:r w:rsidRPr="00365B17">
        <w:rPr>
          <w:lang w:val="en-GB"/>
        </w:rPr>
        <w:t>Activity was the highest in American Hydro, where orders received during the year included a contr</w:t>
      </w:r>
      <w:r w:rsidRPr="00365B17">
        <w:rPr>
          <w:lang w:val="en-GB"/>
        </w:rPr>
        <w:t xml:space="preserve">act to perform rehabilitation services and to complete the upgrade and refurbishment of two units at the Keokuk hydroelectric plant in Iowa, USA. Water &amp; Waste and Entertainment Systems continued to work closely with the Italian shipbuilder </w:t>
      </w:r>
      <w:r w:rsidRPr="00365B17">
        <w:rPr>
          <w:lang w:val="en-GB"/>
        </w:rPr>
        <w:t>Fincantieri</w:t>
      </w:r>
      <w:r w:rsidRPr="00365B17">
        <w:rPr>
          <w:lang w:val="en-GB"/>
        </w:rPr>
        <w:t xml:space="preserve"> for</w:t>
      </w:r>
      <w:r w:rsidRPr="00365B17">
        <w:rPr>
          <w:lang w:val="en-GB"/>
        </w:rPr>
        <w:t xml:space="preserve"> a number of ships, resulting in orders for complete waste treatment systems and fresh water generators for two vessels, as well as entertainment systems for two new series of ships comprising eight vessels.</w:t>
      </w:r>
      <w:r w:rsidRPr="00365B17">
        <w:rPr>
          <w:lang w:val="en-GB"/>
        </w:rPr>
        <w:t xml:space="preserve"> </w:t>
      </w:r>
      <w:r w:rsidRPr="00365B17">
        <w:rPr>
          <w:lang w:val="en-GB"/>
        </w:rPr>
        <w:t xml:space="preserve">The order book at the end of the </w:t>
      </w:r>
      <w:r w:rsidRPr="00365B17">
        <w:rPr>
          <w:lang w:val="en-GB"/>
        </w:rPr>
        <w:t>year</w:t>
      </w:r>
      <w:r w:rsidRPr="00365B17">
        <w:rPr>
          <w:lang w:val="en-GB"/>
        </w:rPr>
        <w:t xml:space="preserve"> </w:t>
      </w:r>
      <w:r w:rsidRPr="00365B17">
        <w:rPr>
          <w:lang w:val="en-GB"/>
        </w:rPr>
        <w:t>decreased by 24% to</w:t>
      </w:r>
      <w:r w:rsidRPr="00365B17">
        <w:rPr>
          <w:lang w:val="en-GB"/>
        </w:rPr>
        <w:t xml:space="preserve"> EUR </w:t>
      </w:r>
      <w:r w:rsidRPr="00365B17">
        <w:rPr>
          <w:lang w:val="en-GB"/>
        </w:rPr>
        <w:t>257</w:t>
      </w:r>
      <w:r w:rsidRPr="00365B17">
        <w:rPr>
          <w:lang w:val="en-GB"/>
        </w:rPr>
        <w:t xml:space="preserve"> million (</w:t>
      </w:r>
      <w:r w:rsidRPr="00365B17">
        <w:rPr>
          <w:lang w:val="en-GB"/>
        </w:rPr>
        <w:t>338</w:t>
      </w:r>
      <w:r w:rsidRPr="00365B17">
        <w:rPr>
          <w:lang w:val="en-GB"/>
        </w:rPr>
        <w:t>).</w:t>
      </w:r>
    </w:p>
    <w:p w:rsidR="00AF6566" w:rsidRPr="00280C1D" w:rsidP="00280C1D" w14:textId="7A1743D7">
      <w:pPr>
        <w:pStyle w:val="Wnormal0"/>
      </w:pPr>
      <w:r w:rsidRPr="00365B17">
        <w:rPr>
          <w:lang w:val="en-GB"/>
        </w:rPr>
        <w:t xml:space="preserve">Net sales </w:t>
      </w:r>
      <w:r w:rsidRPr="00365B17">
        <w:rPr>
          <w:lang w:val="en-GB"/>
        </w:rPr>
        <w:t>decreased by 24% to</w:t>
      </w:r>
      <w:r w:rsidRPr="00365B17">
        <w:rPr>
          <w:lang w:val="en-GB"/>
        </w:rPr>
        <w:t xml:space="preserve"> EUR </w:t>
      </w:r>
      <w:r w:rsidRPr="00365B17">
        <w:rPr>
          <w:lang w:val="en-GB"/>
        </w:rPr>
        <w:t>181</w:t>
      </w:r>
      <w:r w:rsidRPr="00365B17">
        <w:rPr>
          <w:lang w:val="en-GB"/>
        </w:rPr>
        <w:t xml:space="preserve"> million (</w:t>
      </w:r>
      <w:r w:rsidRPr="00365B17">
        <w:rPr>
          <w:lang w:val="en-GB"/>
        </w:rPr>
        <w:t>236</w:t>
      </w:r>
      <w:r w:rsidRPr="00365B17">
        <w:rPr>
          <w:lang w:val="en-GB"/>
        </w:rPr>
        <w:t xml:space="preserve">) compared to the previous year. </w:t>
      </w:r>
      <w:r w:rsidRPr="00365B17">
        <w:rPr>
          <w:lang w:val="en-GB"/>
        </w:rPr>
        <w:t>COVID-19 lowered activity, particularly in the Water &amp; Waste and Entertainment Systems business units, where especially the cruise segment was heavily affected.</w:t>
      </w:r>
      <w:r w:rsidRPr="00365B17">
        <w:rPr>
          <w:lang w:val="en-GB"/>
        </w:rPr>
        <w:t xml:space="preserve"> </w:t>
      </w:r>
      <w:r w:rsidRPr="00365B17">
        <w:rPr>
          <w:lang w:val="en-GB"/>
        </w:rPr>
        <w:t xml:space="preserve">The comparable operating result amounted to EUR </w:t>
      </w:r>
      <w:r w:rsidRPr="00365B17">
        <w:rPr>
          <w:lang w:val="en-GB"/>
        </w:rPr>
        <w:t>-6</w:t>
      </w:r>
      <w:r w:rsidRPr="00365B17">
        <w:rPr>
          <w:lang w:val="en-GB"/>
        </w:rPr>
        <w:t xml:space="preserve"> million (</w:t>
      </w:r>
      <w:r w:rsidRPr="00365B17">
        <w:rPr>
          <w:lang w:val="en-GB"/>
        </w:rPr>
        <w:t>0</w:t>
      </w:r>
      <w:r w:rsidRPr="00365B17">
        <w:rPr>
          <w:lang w:val="en-GB"/>
        </w:rPr>
        <w:t xml:space="preserve">) or </w:t>
      </w:r>
      <w:r w:rsidRPr="00365B17">
        <w:rPr>
          <w:lang w:val="en-GB"/>
        </w:rPr>
        <w:t>-3.1</w:t>
      </w:r>
      <w:r w:rsidRPr="00365B17">
        <w:rPr>
          <w:lang w:val="en-GB"/>
        </w:rPr>
        <w:t>% of net sales (</w:t>
      </w:r>
      <w:r w:rsidRPr="00365B17">
        <w:rPr>
          <w:lang w:val="en-GB"/>
        </w:rPr>
        <w:t>0.1</w:t>
      </w:r>
      <w:r w:rsidRPr="00365B17">
        <w:rPr>
          <w:lang w:val="en-GB"/>
        </w:rPr>
        <w:t>).</w:t>
      </w:r>
      <w:r w:rsidRPr="00365B17">
        <w:rPr>
          <w:lang w:val="en-GB"/>
        </w:rPr>
        <w:t xml:space="preserve"> </w:t>
      </w:r>
      <w:r w:rsidRPr="00365B17">
        <w:rPr>
          <w:lang w:val="en-GB"/>
        </w:rPr>
        <w:t>Items affecting comparability amountin</w:t>
      </w:r>
      <w:r w:rsidRPr="00365B17">
        <w:rPr>
          <w:lang w:val="en-GB"/>
        </w:rPr>
        <w:t>g to EUR 2</w:t>
      </w:r>
      <w:r w:rsidRPr="00365B17">
        <w:rPr>
          <w:lang w:val="en-GB"/>
        </w:rPr>
        <w:t>4</w:t>
      </w:r>
      <w:r w:rsidRPr="00365B17">
        <w:rPr>
          <w:lang w:val="en-GB"/>
        </w:rPr>
        <w:t xml:space="preserve"> million were recognised during the year </w:t>
      </w:r>
      <w:r w:rsidRPr="00365B17">
        <w:rPr>
          <w:lang w:val="en-GB"/>
        </w:rPr>
        <w:t xml:space="preserve">largely </w:t>
      </w:r>
      <w:r w:rsidRPr="00365B17">
        <w:rPr>
          <w:lang w:val="en-GB"/>
        </w:rPr>
        <w:t>as a result of the divestments of Wärtsilä JOVYATLAS GmbH and Wärtsilä Valves Ltd.</w:t>
      </w:r>
    </w:p>
    <w:p w:rsidR="00B75734" w:rsidP="00342E38">
      <w:pPr>
        <w:pStyle w:val="WHeadingException3"/>
        <w:rPr>
          <w:rFonts w:ascii="Arial" w:eastAsia="Times New Roman" w:hAnsi="Arial"/>
        </w:rPr>
      </w:pPr>
      <w:bookmarkStart w:id="33" w:name="RG_MARKER_5146"/>
      <w:r w:rsidRPr="00B75734">
        <w:t>Divestments</w:t>
      </w:r>
      <w:bookmarkEnd w:id="33"/>
    </w:p>
    <w:p w:rsidR="00B75734" w:rsidP="00606F15">
      <w:pPr>
        <w:pStyle w:val="Wnormal0"/>
      </w:pPr>
      <w:r w:rsidRPr="00C938F6">
        <w:t>In September, Wärtsilä announced the divestment of 100% of the shares in Wärtsilä JOVYATLAS GmbH to Jacob Waitz Industrie</w:t>
      </w:r>
      <w:r w:rsidRPr="00C938F6">
        <w:t xml:space="preserve"> GmbH, a German based industry holding. The Wärtsilä JOVYATLAS offering consists of UPS systems, rectifiers, power inverters, frequency transformers</w:t>
      </w:r>
      <w:r>
        <w:t>,</w:t>
      </w:r>
      <w:r w:rsidRPr="00C938F6">
        <w:t xml:space="preserve"> and resistors with related services. The company, which became part of Wärtsilä as a result of the acquisi</w:t>
      </w:r>
      <w:r w:rsidRPr="00C938F6">
        <w:t xml:space="preserve">tion of L-3 Communications MSI in 2015, is located in Jemgum in Germany and currently has some 125 employees. In 2019, its annual revenues were EUR 20 million. </w:t>
      </w:r>
      <w:r w:rsidRPr="00606F15">
        <w:t>The divestment is driving Wärtsilä’s focus on creating a stronger and simpler core business.</w:t>
      </w:r>
    </w:p>
    <w:p w:rsidR="00C938F6" w:rsidP="00606F15">
      <w:pPr>
        <w:pStyle w:val="Wnormal0"/>
      </w:pPr>
      <w:r>
        <w:t>I</w:t>
      </w:r>
      <w:r w:rsidRPr="00B75734">
        <w:t xml:space="preserve">n </w:t>
      </w:r>
      <w:r w:rsidRPr="00B75734">
        <w:t>October, Wärtsilä announced the divestment of 100% of the shares in Wärtsilä Valves Ltd to an affiliate of Evergreen Capital L.P., based in New York, US</w:t>
      </w:r>
      <w:r>
        <w:t>A</w:t>
      </w:r>
      <w:r w:rsidRPr="00B75734">
        <w:t>. Its activities include engineering, assembly, testing, sales</w:t>
      </w:r>
      <w:r>
        <w:t>,</w:t>
      </w:r>
      <w:r w:rsidRPr="00B75734">
        <w:t xml:space="preserve"> and delivery of nickel aluminium bronze</w:t>
      </w:r>
      <w:r w:rsidRPr="00B75734">
        <w:t xml:space="preserve"> (NAB) and duplex valves for </w:t>
      </w:r>
      <w:r>
        <w:t xml:space="preserve">the </w:t>
      </w:r>
      <w:r w:rsidRPr="00B75734">
        <w:t xml:space="preserve">marine, oil </w:t>
      </w:r>
      <w:r>
        <w:t>and</w:t>
      </w:r>
      <w:r w:rsidRPr="00B75734">
        <w:t xml:space="preserve"> gas</w:t>
      </w:r>
      <w:r>
        <w:t>,</w:t>
      </w:r>
      <w:r w:rsidRPr="00B75734">
        <w:t xml:space="preserve"> and energy markets. Additionally, </w:t>
      </w:r>
      <w:r>
        <w:t xml:space="preserve">it </w:t>
      </w:r>
      <w:r w:rsidRPr="00B75734">
        <w:t>offers applications for Valves’ products, including FPSO, petrochemical facilities, power generation, LNG, naval marine, marine services, waste water treatment plant</w:t>
      </w:r>
      <w:r w:rsidRPr="00B75734">
        <w:t>s</w:t>
      </w:r>
      <w:r>
        <w:t>,</w:t>
      </w:r>
      <w:r w:rsidRPr="00B75734">
        <w:t xml:space="preserve"> and pipelines. Wärtsilä Valves became part of Wärtsilä as a result of the Hamworthy acquisition in 2012. The company is located in Brough, UK and currently has approximately 65 employees. The annual revenues were approximately EUR 15 million in 2019.</w:t>
      </w:r>
    </w:p>
    <w:p w:rsidR="00606F15" w:rsidRPr="00606F15" w:rsidP="00606F15">
      <w:pPr>
        <w:pStyle w:val="Wnormal0"/>
        <w:rPr>
          <w:rFonts w:eastAsiaTheme="minorEastAsia"/>
        </w:rPr>
      </w:pPr>
      <w:r>
        <w:t>In</w:t>
      </w:r>
      <w:r>
        <w:t xml:space="preserve"> December, Wärtsilä closed the divestment of Wärtsilä ELAC Nautik GmbH (ELAC Nautik) to Cohort plc, a UK listed company, specialising in defence, security and related market sectors. ELAC Nautik became part of Wärtsilä as a result of the acquisition of L-3</w:t>
      </w:r>
      <w:r>
        <w:t xml:space="preserve"> Communications MSI in 2015. Its main market focus is on hydroacoustic products, including sonars, underwater communication and echo systems for small and medium sized military submarines. The company is located in Kiel, Germany and employs </w:t>
      </w:r>
      <w:r>
        <w:t>1</w:t>
      </w:r>
      <w:r>
        <w:t>25</w:t>
      </w:r>
      <w:r>
        <w:t xml:space="preserve"> people. The</w:t>
      </w:r>
      <w:r>
        <w:t xml:space="preserve"> annual revenues were</w:t>
      </w:r>
      <w:r>
        <w:t xml:space="preserve"> approximately EUR 20 million in 2019</w:t>
      </w:r>
      <w:r>
        <w:t>.</w:t>
      </w:r>
    </w:p>
    <w:p w:rsidR="004C30D4" w:rsidRPr="002A6C34" w:rsidP="004B1365" w14:paraId="45C2CAA6" w14:textId="77777777">
      <w:pPr>
        <w:pStyle w:val="WHeadingException1"/>
      </w:pPr>
      <w:bookmarkStart w:id="34" w:name="RG_MARKER_4985"/>
      <w:r w:rsidRPr="002A6C34">
        <w:t>Risks and business uncertainties</w:t>
      </w:r>
      <w:bookmarkEnd w:id="34"/>
    </w:p>
    <w:p w:rsidR="00EF0384" w:rsidRPr="007F6EC2" w:rsidP="007F6EC2" w14:paraId="5CE5183F" w14:textId="77777777">
      <w:pPr>
        <w:pStyle w:val="Wnormal0"/>
      </w:pPr>
      <w:r w:rsidRPr="007F6EC2">
        <w:t xml:space="preserve">The </w:t>
      </w:r>
      <w:r w:rsidR="00C00A06">
        <w:t>COVID</w:t>
      </w:r>
      <w:r w:rsidRPr="007F6EC2">
        <w:t xml:space="preserve">-19 pandemic and the measures taken to contain its spread represent the main short-term risk to business operations and the demand environment, impacting global energy consumption, seaborne trade, as well as </w:t>
      </w:r>
      <w:r w:rsidRPr="007F6EC2">
        <w:t>consumer confidence in cruise and ferry transportation. Mobility restrictions continue to affect business activities, project delivery schedules, and the ability to perform service activities. Disruptions to global supply chains resulting from new waves of</w:t>
      </w:r>
      <w:r w:rsidRPr="007F6EC2">
        <w:t xml:space="preserve"> </w:t>
      </w:r>
      <w:r w:rsidR="00C00A06">
        <w:t>COVID</w:t>
      </w:r>
      <w:r w:rsidRPr="007F6EC2">
        <w:t xml:space="preserve">-19 infections are a risk for both factory activity and the delivery of spare parts and services. Although vaccinations against </w:t>
      </w:r>
      <w:r w:rsidR="00C00A06">
        <w:t>COVID</w:t>
      </w:r>
      <w:r w:rsidRPr="007F6EC2">
        <w:t xml:space="preserve">-19 have started in many countries, there is still significant uncertainty over the duration of the pandemic and how </w:t>
      </w:r>
      <w:r w:rsidRPr="007F6EC2">
        <w:t>quickly country level vaccination program</w:t>
      </w:r>
      <w:r>
        <w:t>me</w:t>
      </w:r>
      <w:r w:rsidRPr="007F6EC2">
        <w:t xml:space="preserve">s will be implemented </w:t>
      </w:r>
      <w:r>
        <w:t>on</w:t>
      </w:r>
      <w:r w:rsidRPr="007F6EC2">
        <w:t xml:space="preserve"> </w:t>
      </w:r>
      <w:r w:rsidR="00C00A06">
        <w:t xml:space="preserve">a </w:t>
      </w:r>
      <w:r w:rsidRPr="007F6EC2">
        <w:t>global scale.</w:t>
      </w:r>
    </w:p>
    <w:p w:rsidR="00EF0384" w:rsidRPr="00EF0384" w:rsidP="007F6EC2" w14:paraId="5BE00FD6" w14:textId="77777777">
      <w:pPr>
        <w:pStyle w:val="Wnormal0"/>
        <w:rPr>
          <w:sz w:val="22"/>
        </w:rPr>
      </w:pPr>
      <w:r w:rsidRPr="007F6EC2">
        <w:t>In the marine markets, the risk of a prolonged period of weak demand affects the investment decisions of shipowners and operators,</w:t>
      </w:r>
      <w:r w:rsidRPr="00EF0384">
        <w:t xml:space="preserve"> who are forced to re-evaluate their strat</w:t>
      </w:r>
      <w:r w:rsidRPr="00EF0384">
        <w:t>egies related to both vessel newbuilding and existing fleets, and to cut capital and operational expenditures. The prevailing market conditions may result in continued price pressure and an elevated risk of order cancellations or slippage. Surplus capacity</w:t>
      </w:r>
      <w:r w:rsidRPr="00EF0384">
        <w:t xml:space="preserve"> can drive further consolidation among shipyards, ship owners, and operators in certain segments, which may result in lower capture rates in services and equipment sales due to changed customer relationships. Extensions of no-sail orders, </w:t>
      </w:r>
      <w:r>
        <w:t xml:space="preserve">the </w:t>
      </w:r>
      <w:r w:rsidRPr="00EF0384">
        <w:t>limited abili</w:t>
      </w:r>
      <w:r w:rsidRPr="00EF0384">
        <w:t xml:space="preserve">ty or desire of people to travel, and the escalation of </w:t>
      </w:r>
      <w:r w:rsidR="00C00A06">
        <w:t>COVID</w:t>
      </w:r>
      <w:r w:rsidRPr="00EF0384">
        <w:t xml:space="preserve">-19 cases are a risk for recovery </w:t>
      </w:r>
      <w:r>
        <w:t xml:space="preserve">in the </w:t>
      </w:r>
      <w:r w:rsidRPr="00EF0384">
        <w:t>cruise and ferry markets. In the offshore industry, crude oil price volatility is pushing the oil majors to reduce their spending, exploration activity, a</w:t>
      </w:r>
      <w:r w:rsidRPr="00EF0384">
        <w:t>nd operational costs, leading to an increasing number of laid-up drilling units and support vessels. The average price spread between high- and low-sulphur fuels is projected to remain narrow in the near term, negatively impacting the scrubber investment c</w:t>
      </w:r>
      <w:r w:rsidRPr="00EF0384">
        <w:t>ase for both the existing fleet and newbuilds.</w:t>
      </w:r>
      <w:r w:rsidRPr="00EF0384">
        <w:rPr>
          <w:color w:val="FF0000"/>
        </w:rPr>
        <w:t xml:space="preserve"> </w:t>
      </w:r>
      <w:r w:rsidRPr="00EF0384">
        <w:t>At the same time, the low oil price is widening the price differential between existing fuels and green alternatives. This</w:t>
      </w:r>
      <w:r>
        <w:t>,</w:t>
      </w:r>
      <w:r w:rsidRPr="00EF0384">
        <w:t xml:space="preserve"> combined with the market challenges shipowners are facing</w:t>
      </w:r>
      <w:r>
        <w:t>,</w:t>
      </w:r>
      <w:r w:rsidRPr="00EF0384">
        <w:t xml:space="preserve"> further raises the importa</w:t>
      </w:r>
      <w:r w:rsidRPr="00EF0384">
        <w:t xml:space="preserve">nce of a clear and </w:t>
      </w:r>
      <w:r>
        <w:t>foreseeable</w:t>
      </w:r>
      <w:r w:rsidRPr="00EF0384">
        <w:t xml:space="preserve"> development of the regulatory environment as a fundamental condition to the decarbonisation of shipping.</w:t>
      </w:r>
    </w:p>
    <w:p w:rsidR="00F605EA" w:rsidP="007F6EC2" w14:paraId="3DCC749C" w14:textId="77777777">
      <w:pPr>
        <w:pStyle w:val="Wnormal0"/>
      </w:pPr>
      <w:r w:rsidRPr="00F605EA">
        <w:t xml:space="preserve">In the </w:t>
      </w:r>
      <w:r>
        <w:t>e</w:t>
      </w:r>
      <w:r w:rsidRPr="00F605EA">
        <w:t xml:space="preserve">nergy </w:t>
      </w:r>
      <w:r>
        <w:t>markets</w:t>
      </w:r>
      <w:r w:rsidRPr="00F605EA">
        <w:t>, the slowdown in economic activity, currency fluctuations, and potential financing constraints are</w:t>
      </w:r>
      <w:r w:rsidRPr="00F605EA">
        <w:t xml:space="preserve"> </w:t>
      </w:r>
      <w:r>
        <w:t>likely</w:t>
      </w:r>
      <w:r w:rsidRPr="00F605EA">
        <w:t xml:space="preserve"> to postpone investment decisions </w:t>
      </w:r>
      <w:r>
        <w:t>on</w:t>
      </w:r>
      <w:r w:rsidRPr="00F605EA">
        <w:t xml:space="preserve"> new power generation capacity. The energy transition may temporarily slow down, as the focus is on containing the virus spread and mitigating its impacts. Agreed and proposed stimulus packages to accelerate renew</w:t>
      </w:r>
      <w:r w:rsidRPr="00F605EA">
        <w:t xml:space="preserve">able energy investments still include uncertainties about </w:t>
      </w:r>
      <w:r>
        <w:t xml:space="preserve">the </w:t>
      </w:r>
      <w:r w:rsidRPr="00F605EA">
        <w:t xml:space="preserve">allocation of funding. However, once stimulus measures are </w:t>
      </w:r>
      <w:r>
        <w:t>executed</w:t>
      </w:r>
      <w:r w:rsidRPr="00F605EA">
        <w:t>, the need for flexibility in power systems will be emphasi</w:t>
      </w:r>
      <w:r>
        <w:t>s</w:t>
      </w:r>
      <w:r w:rsidRPr="00F605EA">
        <w:t xml:space="preserve">ed. </w:t>
      </w:r>
      <w:r>
        <w:t>C</w:t>
      </w:r>
      <w:r w:rsidRPr="00F605EA">
        <w:t xml:space="preserve">hanges </w:t>
      </w:r>
      <w:r>
        <w:t>in c</w:t>
      </w:r>
      <w:r w:rsidRPr="00F605EA">
        <w:t>limate polic</w:t>
      </w:r>
      <w:r>
        <w:t>ies</w:t>
      </w:r>
      <w:r w:rsidRPr="00F605EA">
        <w:t xml:space="preserve"> and regulation</w:t>
      </w:r>
      <w:r>
        <w:t>s</w:t>
      </w:r>
      <w:r w:rsidRPr="00F605EA">
        <w:t xml:space="preserve"> cause uncertainty i</w:t>
      </w:r>
      <w:r w:rsidRPr="00F605EA">
        <w:t>n the markets</w:t>
      </w:r>
      <w:r>
        <w:t>,</w:t>
      </w:r>
      <w:r w:rsidRPr="00F605EA">
        <w:t xml:space="preserve"> as they may impact customers’</w:t>
      </w:r>
      <w:r w:rsidRPr="003D5F30">
        <w:t xml:space="preserve"> </w:t>
      </w:r>
      <w:r w:rsidRPr="00F605EA">
        <w:t>technology</w:t>
      </w:r>
      <w:r w:rsidRPr="00380440">
        <w:t xml:space="preserve"> </w:t>
      </w:r>
      <w:r w:rsidRPr="00F605EA">
        <w:t>choices. Geopolitical tensions and trade barrier implications are also notable challenges to the demand environment. Price pressure resulting from the prevailing competitive environment remains a risk</w:t>
      </w:r>
      <w:r w:rsidRPr="00F605EA">
        <w:t>.</w:t>
      </w:r>
    </w:p>
    <w:p w:rsidR="004C30D4" w:rsidRPr="002A6C34" w:rsidP="007F6EC2" w14:paraId="67A265C7" w14:textId="77777777">
      <w:pPr>
        <w:pStyle w:val="Wnormal0"/>
      </w:pPr>
      <w:r w:rsidRPr="009D3817">
        <w:t xml:space="preserve">The Group is a defendant in </w:t>
      </w:r>
      <w:r w:rsidRPr="009D3817">
        <w:t>a number of</w:t>
      </w:r>
      <w:r w:rsidRPr="009D3817">
        <w:t xml:space="preserve"> legal cases that have arisen out of, or are incidental to, the ordinary course of its business. These lawsuits mainly concern issues such as contractual and other liability, labour relations, property damage, and r</w:t>
      </w:r>
      <w:r w:rsidRPr="009D3817">
        <w:t xml:space="preserve">egulatory matters. </w:t>
      </w:r>
      <w:r w:rsidRPr="009D3817" w:rsidR="00166AA6">
        <w:t>From time to time, t</w:t>
      </w:r>
      <w:r w:rsidRPr="009D3817">
        <w:t xml:space="preserve">he Group receives claims of different amounts and with varying degrees of substantiation. There is currently one unusually sizeable claim. It is the Group’s policy to provide for amounts related to the claims as well </w:t>
      </w:r>
      <w:r w:rsidRPr="009D3817">
        <w:t xml:space="preserve">as for litigation and arbitration matters when an unfavourable outcome is </w:t>
      </w:r>
      <w:r w:rsidRPr="009D3817">
        <w:t>probable</w:t>
      </w:r>
      <w:r w:rsidRPr="009D3817">
        <w:t xml:space="preserve"> and the amount of loss can be reasonably estimated.</w:t>
      </w:r>
    </w:p>
    <w:p w:rsidR="00B4426B" w:rsidRPr="002A6C34" w:rsidP="007F6EC2" w14:paraId="5C276CB7" w14:textId="77777777">
      <w:pPr>
        <w:pStyle w:val="Wnormal0"/>
      </w:pPr>
      <w:r w:rsidRPr="00323F20">
        <w:t>The Risks and risk management section of</w:t>
      </w:r>
      <w:r>
        <w:t xml:space="preserve"> t</w:t>
      </w:r>
      <w:r w:rsidRPr="002A6C34" w:rsidR="007F394E">
        <w:t>he annual report contains a more detailed description of Wärtsilä’s risks and risk management.</w:t>
      </w:r>
    </w:p>
    <w:p w:rsidR="00285854" w:rsidRPr="0063775B" w:rsidP="00A96469" w14:paraId="34F3FD50" w14:textId="77777777">
      <w:pPr>
        <w:pStyle w:val="WHeading3"/>
      </w:pPr>
      <w:r w:rsidRPr="0063775B">
        <mc:AlternateContent>
          <mc:Choice Requires="wps">
            <w:drawing>
              <wp:anchor distT="45720" distB="45720" distL="114300" distR="114300" simplePos="0" relativeHeight="251669504" behindDoc="0" locked="0" layoutInCell="1" allowOverlap="1">
                <wp:simplePos x="0" y="0"/>
                <wp:positionH relativeFrom="rightMargin">
                  <wp:posOffset>-6543040</wp:posOffset>
                </wp:positionH>
                <wp:positionV relativeFrom="topMargin">
                  <wp:posOffset>1152525</wp:posOffset>
                </wp:positionV>
                <wp:extent cx="6933565" cy="2295525"/>
                <wp:effectExtent l="0" t="0" r="635" b="9525"/>
                <wp:wrapSquare wrapText="bothSides"/>
                <wp:docPr id="283291212" name="Text Box 217"/>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933565" cy="2295525"/>
                        </a:xfrm>
                        <a:prstGeom prst="rect">
                          <a:avLst/>
                        </a:prstGeom>
                        <a:solidFill>
                          <a:srgbClr val="FFFFFF"/>
                        </a:solidFill>
                        <a:ln w="9525">
                          <a:noFill/>
                          <a:miter lim="800000"/>
                          <a:headEnd/>
                          <a:tailEnd/>
                        </a:ln>
                      </wps:spPr>
                      <wps:txbx>
                        <w:txbxContent>
                          <w:p w:rsidR="00285854" w:rsidP="00EF49B8" w14:textId="77777777">
                            <w:pPr>
                              <w:pStyle w:val="Subtitle"/>
                            </w:pPr>
                            <w:r>
                              <w:t>Wärtsilä shares on Nasdaq Helsinki</w:t>
                            </w:r>
                          </w:p>
                          <w:tbl>
                            <w:tblPr>
                              <w:tblStyle w:val="TableNormal"/>
                              <w:tblCaption w:val="Table_Shares_EN"/>
                              <w:tblW w:w="10110" w:type="dxa"/>
                              <w:tblLayout w:type="fixed"/>
                              <w:tblLook w:val="0600"/>
                            </w:tblPr>
                            <w:tblGrid>
                              <w:gridCol w:w="3870"/>
                              <w:gridCol w:w="690"/>
                              <w:gridCol w:w="690"/>
                              <w:gridCol w:w="2430"/>
                              <w:gridCol w:w="2430"/>
                            </w:tblGrid>
                            <w:tr>
                              <w:tblPrEx>
                                <w:tblW w:w="10110" w:type="dxa"/>
                                <w:tblLayout w:type="fixed"/>
                                <w:tblLook w:val="0600"/>
                              </w:tblPrEx>
                              <w:trPr>
                                <w:trHeight w:hRule="exact" w:val="253"/>
                              </w:trPr>
                              <w:tc>
                                <w:tcPr>
                                  <w:tcW w:w="3870"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31.12.2020</w:t>
                                  </w:r>
                                </w:p>
                              </w:tc>
                              <w:tc>
                                <w:tcPr>
                                  <w:tcW w:w="690" w:type="dxa"/>
                                  <w:tcBorders>
                                    <w:top w:val="nil"/>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690" w:type="dxa"/>
                                  <w:tcBorders>
                                    <w:top w:val="nil"/>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2430"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Number of shares and votes</w:t>
                                  </w:r>
                                </w:p>
                              </w:tc>
                              <w:tc>
                                <w:tcPr>
                                  <w:tcW w:w="2430"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Number of shares traded 1-12/2020</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WRT1V</w:t>
                                  </w: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591,723,390</w:t>
                                  </w:r>
                                </w:p>
                              </w:tc>
                              <w:tc>
                                <w:tcPr>
                                  <w:tcW w:w="243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635,449,872</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1.1.-31.12.2020</w:t>
                                  </w:r>
                                </w:p>
                              </w:tc>
                              <w:tc>
                                <w:tcPr>
                                  <w:tcW w:w="69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High</w:t>
                                  </w:r>
                                </w:p>
                              </w:tc>
                              <w:tc>
                                <w:tcPr>
                                  <w:tcW w:w="69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Low</w:t>
                                  </w: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Average*</w:t>
                                  </w: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Close</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3"/>
                              </w:trPr>
                              <w:tc>
                                <w:tcPr>
                                  <w:tcW w:w="3870" w:type="dxa"/>
                                  <w:tcBorders>
                                    <w:top w:val="single" w:sz="8" w:space="0" w:color="000000"/>
                                    <w:left w:val="nil"/>
                                    <w:bottom w:val="single" w:sz="4" w:space="0" w:color="004B6B"/>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 xml:space="preserve">Share price </w:t>
                                  </w:r>
                                </w:p>
                              </w:tc>
                              <w:tc>
                                <w:tcPr>
                                  <w:tcW w:w="69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12.00</w:t>
                                  </w:r>
                                </w:p>
                              </w:tc>
                              <w:tc>
                                <w:tcPr>
                                  <w:tcW w:w="69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5.01</w:t>
                                  </w:r>
                                </w:p>
                              </w:tc>
                              <w:tc>
                                <w:tcPr>
                                  <w:tcW w:w="2430" w:type="dxa"/>
                                  <w:tcBorders>
                                    <w:top w:val="single" w:sz="8" w:space="0" w:color="000000"/>
                                    <w:left w:val="nil"/>
                                    <w:bottom w:val="single" w:sz="4"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7.66</w:t>
                                  </w:r>
                                </w:p>
                              </w:tc>
                              <w:tc>
                                <w:tcPr>
                                  <w:tcW w:w="2430" w:type="dxa"/>
                                  <w:tcBorders>
                                    <w:top w:val="single" w:sz="8" w:space="0" w:color="000000"/>
                                    <w:left w:val="nil"/>
                                    <w:bottom w:val="single" w:sz="4"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8.15</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3"/>
                              </w:trPr>
                              <w:tc>
                                <w:tcPr>
                                  <w:tcW w:w="3870" w:type="dxa"/>
                                  <w:tcBorders>
                                    <w:top w:val="single" w:sz="4" w:space="0" w:color="004B6B"/>
                                    <w:left w:val="nil"/>
                                    <w:bottom w:val="single" w:sz="4" w:space="0" w:color="004B6B"/>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*Trade-weighted average price</w:t>
                                  </w:r>
                                </w:p>
                              </w:tc>
                              <w:tc>
                                <w:tcPr>
                                  <w:tcW w:w="69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3"/>
                              </w:trPr>
                              <w:tc>
                                <w:tcPr>
                                  <w:tcW w:w="387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Market capitalisation</w:t>
                                  </w:r>
                                </w:p>
                              </w:tc>
                              <w:tc>
                                <w:tcPr>
                                  <w:tcW w:w="690" w:type="dxa"/>
                                  <w:tcBorders>
                                    <w:top w:val="single" w:sz="4" w:space="0" w:color="004B6B"/>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690" w:type="dxa"/>
                                  <w:tcBorders>
                                    <w:top w:val="single" w:sz="4" w:space="0" w:color="004B6B"/>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31.12.2020</w:t>
                                  </w: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31.12.2019</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MEUR</w:t>
                                  </w: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4,823</w:t>
                                  </w:r>
                                </w:p>
                              </w:tc>
                              <w:tc>
                                <w:tcPr>
                                  <w:tcW w:w="243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5,828</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Foreign shareholders</w:t>
                                  </w:r>
                                </w:p>
                              </w:tc>
                              <w:tc>
                                <w:tcPr>
                                  <w:tcW w:w="690" w:type="dxa"/>
                                  <w:tcBorders>
                                    <w:top w:val="single" w:sz="4" w:space="0" w:color="004B6B"/>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690" w:type="dxa"/>
                                  <w:tcBorders>
                                    <w:top w:val="single" w:sz="4" w:space="0" w:color="004B6B"/>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31.12.2020</w:t>
                                  </w: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31.12.2019</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w:t>
                                  </w: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8" w:space="0" w:color="000000"/>
                                    <w:left w:val="nil"/>
                                    <w:bottom w:val="single" w:sz="4"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50.7</w:t>
                                  </w:r>
                                </w:p>
                              </w:tc>
                              <w:tc>
                                <w:tcPr>
                                  <w:tcW w:w="2430" w:type="dxa"/>
                                  <w:tcBorders>
                                    <w:top w:val="single" w:sz="8" w:space="0" w:color="000000"/>
                                    <w:left w:val="nil"/>
                                    <w:bottom w:val="single" w:sz="4"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52.8</w:t>
                                  </w:r>
                                </w:p>
                              </w:tc>
                            </w:tr>
                          </w:tbl>
                          <w:p w:rsidR="00257451" w:rsidRPr="00257451" w:rsidP="00257451" w14:textId="77777777">
                            <w:pPr>
                              <w:rPr>
                                <w:lang w:val="fi-FI"/>
                              </w:rPr>
                            </w:pPr>
                          </w:p>
                          <w:p w:rsidR="00285854" w:rsidP="00285854" w14:textId="77777777">
                            <w:pPr>
                              <w:pStyle w:val="Wnormal0"/>
                              <w:spacing w:after="120"/>
                              <w:rPr>
                                <w:b/>
                                <w:bCs/>
                                <w:color w:val="FF7321"/>
                                <w:szCs w:val="17"/>
                              </w:rPr>
                            </w:pP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id="Text Box 217" o:spid="_x0000_s1030" type="#_x0000_t202" style="width:545.95pt;height:180.75pt;margin-top:90.75pt;margin-left:-515.2pt;mso-height-percent:0;mso-height-relative:margin;mso-position-horizontal-relative:right-margin-area;mso-position-vertical-relative:top-margin-area;mso-width-percent:0;mso-width-relative:margin;mso-wrap-distance-bottom:3.6pt;mso-wrap-distance-left:9pt;mso-wrap-distance-right:9pt;mso-wrap-distance-top:3.6pt;position:absolute;v-text-anchor:top;z-index:251668480" fillcolor="white" stroked="f" strokeweight="0.75pt">
                <v:textbox>
                  <w:txbxContent>
                    <w:p w:rsidR="00285854" w:rsidP="00EF49B8" w14:paraId="5007BD0D" w14:textId="77777777">
                      <w:pPr>
                        <w:pStyle w:val="Subtitle"/>
                      </w:pPr>
                      <w:r>
                        <w:t>Wärtsilä shares on Nasdaq Helsinki</w:t>
                      </w:r>
                    </w:p>
                    <w:tbl>
                      <w:tblPr>
                        <w:tblStyle w:val="TableNormal"/>
                        <w:tblCaption w:val="Table_Shares_EN"/>
                        <w:tblW w:w="10110" w:type="dxa"/>
                        <w:tblLayout w:type="fixed"/>
                        <w:tblLook w:val="0600"/>
                      </w:tblPr>
                      <w:tblGrid>
                        <w:gridCol w:w="3870"/>
                        <w:gridCol w:w="690"/>
                        <w:gridCol w:w="690"/>
                        <w:gridCol w:w="2430"/>
                        <w:gridCol w:w="2430"/>
                      </w:tblGrid>
                      <w:tr>
                        <w:tblPrEx>
                          <w:tblW w:w="10110" w:type="dxa"/>
                          <w:tblLayout w:type="fixed"/>
                          <w:tblLook w:val="0600"/>
                        </w:tblPrEx>
                        <w:trPr>
                          <w:trHeight w:hRule="exact" w:val="253"/>
                        </w:trPr>
                        <w:tc>
                          <w:tcPr>
                            <w:tcW w:w="3870"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31.12.2020</w:t>
                            </w:r>
                          </w:p>
                        </w:tc>
                        <w:tc>
                          <w:tcPr>
                            <w:tcW w:w="690" w:type="dxa"/>
                            <w:tcBorders>
                              <w:top w:val="nil"/>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690" w:type="dxa"/>
                            <w:tcBorders>
                              <w:top w:val="nil"/>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2430"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Number of shares and votes</w:t>
                            </w:r>
                          </w:p>
                        </w:tc>
                        <w:tc>
                          <w:tcPr>
                            <w:tcW w:w="2430"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Number of shares traded 1-12/2020</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WRT1V</w:t>
                            </w: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591,723,390</w:t>
                            </w:r>
                          </w:p>
                        </w:tc>
                        <w:tc>
                          <w:tcPr>
                            <w:tcW w:w="243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635,449,872</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1.1.-31.12.2020</w:t>
                            </w:r>
                          </w:p>
                        </w:tc>
                        <w:tc>
                          <w:tcPr>
                            <w:tcW w:w="69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High</w:t>
                            </w:r>
                          </w:p>
                        </w:tc>
                        <w:tc>
                          <w:tcPr>
                            <w:tcW w:w="69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Low</w:t>
                            </w: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Average*</w:t>
                            </w: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Close</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3"/>
                        </w:trPr>
                        <w:tc>
                          <w:tcPr>
                            <w:tcW w:w="3870" w:type="dxa"/>
                            <w:tcBorders>
                              <w:top w:val="single" w:sz="8" w:space="0" w:color="000000"/>
                              <w:left w:val="nil"/>
                              <w:bottom w:val="single" w:sz="4" w:space="0" w:color="004B6B"/>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 xml:space="preserve">Share price </w:t>
                            </w:r>
                          </w:p>
                        </w:tc>
                        <w:tc>
                          <w:tcPr>
                            <w:tcW w:w="69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12.00</w:t>
                            </w:r>
                          </w:p>
                        </w:tc>
                        <w:tc>
                          <w:tcPr>
                            <w:tcW w:w="69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5.01</w:t>
                            </w:r>
                          </w:p>
                        </w:tc>
                        <w:tc>
                          <w:tcPr>
                            <w:tcW w:w="2430" w:type="dxa"/>
                            <w:tcBorders>
                              <w:top w:val="single" w:sz="8" w:space="0" w:color="000000"/>
                              <w:left w:val="nil"/>
                              <w:bottom w:val="single" w:sz="4"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7.66</w:t>
                            </w:r>
                          </w:p>
                        </w:tc>
                        <w:tc>
                          <w:tcPr>
                            <w:tcW w:w="2430" w:type="dxa"/>
                            <w:tcBorders>
                              <w:top w:val="single" w:sz="8" w:space="0" w:color="000000"/>
                              <w:left w:val="nil"/>
                              <w:bottom w:val="single" w:sz="4"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8.15</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3"/>
                        </w:trPr>
                        <w:tc>
                          <w:tcPr>
                            <w:tcW w:w="3870" w:type="dxa"/>
                            <w:tcBorders>
                              <w:top w:val="single" w:sz="4" w:space="0" w:color="004B6B"/>
                              <w:left w:val="nil"/>
                              <w:bottom w:val="single" w:sz="4" w:space="0" w:color="004B6B"/>
                              <w:right w:val="nil"/>
                              <w:tl2br w:val="nil"/>
                              <w:tr2bl w:val="nil"/>
                            </w:tcBorders>
                            <w:shd w:val="clear" w:color="FFFFFF" w:fill="FFFFFF"/>
                            <w:noWrap w:val="0"/>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*Trade-weighted average price</w:t>
                            </w:r>
                          </w:p>
                        </w:tc>
                        <w:tc>
                          <w:tcPr>
                            <w:tcW w:w="69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3"/>
                        </w:trPr>
                        <w:tc>
                          <w:tcPr>
                            <w:tcW w:w="387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val="0"/>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Market capitalisation</w:t>
                            </w:r>
                          </w:p>
                        </w:tc>
                        <w:tc>
                          <w:tcPr>
                            <w:tcW w:w="690" w:type="dxa"/>
                            <w:tcBorders>
                              <w:top w:val="single" w:sz="4" w:space="0" w:color="004B6B"/>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690" w:type="dxa"/>
                            <w:tcBorders>
                              <w:top w:val="single" w:sz="4" w:space="0" w:color="004B6B"/>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31.12.2020</w:t>
                            </w: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31.12.2019</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MEUR</w:t>
                            </w: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4,823</w:t>
                            </w:r>
                          </w:p>
                        </w:tc>
                        <w:tc>
                          <w:tcPr>
                            <w:tcW w:w="2430" w:type="dxa"/>
                            <w:tcBorders>
                              <w:top w:val="single" w:sz="8" w:space="0" w:color="000000"/>
                              <w:left w:val="nil"/>
                              <w:bottom w:val="single" w:sz="4" w:space="0" w:color="004B6B"/>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5,828</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4" w:space="0" w:color="004B6B"/>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Foreign shareholders</w:t>
                            </w:r>
                          </w:p>
                        </w:tc>
                        <w:tc>
                          <w:tcPr>
                            <w:tcW w:w="690" w:type="dxa"/>
                            <w:tcBorders>
                              <w:top w:val="single" w:sz="4" w:space="0" w:color="004B6B"/>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690" w:type="dxa"/>
                            <w:tcBorders>
                              <w:top w:val="single" w:sz="4" w:space="0" w:color="004B6B"/>
                              <w:left w:val="nil"/>
                              <w:bottom w:val="single" w:sz="8" w:space="0" w:color="000000"/>
                              <w:right w:val="nil"/>
                              <w:tl2br w:val="nil"/>
                              <w:tr2bl w:val="nil"/>
                            </w:tcBorders>
                            <w:shd w:val="clear" w:color="FFFFFF" w:fill="F0F4F6"/>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31.12.2020</w:t>
                            </w:r>
                          </w:p>
                        </w:tc>
                        <w:tc>
                          <w:tcPr>
                            <w:tcW w:w="2430" w:type="dxa"/>
                            <w:tcBorders>
                              <w:top w:val="single" w:sz="4" w:space="0" w:color="004B6B"/>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31.12.2019</w:t>
                            </w:r>
                          </w:p>
                        </w:tc>
                      </w:tr>
                      <w:tr>
                        <w:tblPrEx>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3870"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w:t>
                            </w: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690" w:type="dxa"/>
                            <w:tcBorders>
                              <w:top w:val="single" w:sz="8" w:space="0" w:color="000000"/>
                              <w:left w:val="nil"/>
                              <w:bottom w:val="single" w:sz="4" w:space="0" w:color="004B6B"/>
                              <w:right w:val="nil"/>
                              <w:tl2br w:val="nil"/>
                              <w:tr2bl w:val="nil"/>
                            </w:tcBorders>
                            <w:shd w:val="clear" w:color="FFFFFF" w:fill="FFFFFF"/>
                            <w:noWrap/>
                            <w:tcMar>
                              <w:left w:w="0" w:type="dxa"/>
                              <w:right w:w="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p>
                        </w:tc>
                        <w:tc>
                          <w:tcPr>
                            <w:tcW w:w="2430" w:type="dxa"/>
                            <w:tcBorders>
                              <w:top w:val="single" w:sz="8" w:space="0" w:color="000000"/>
                              <w:left w:val="nil"/>
                              <w:bottom w:val="single" w:sz="4"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50.7</w:t>
                            </w:r>
                          </w:p>
                        </w:tc>
                        <w:tc>
                          <w:tcPr>
                            <w:tcW w:w="2430" w:type="dxa"/>
                            <w:tcBorders>
                              <w:top w:val="single" w:sz="8" w:space="0" w:color="000000"/>
                              <w:left w:val="nil"/>
                              <w:bottom w:val="single" w:sz="4" w:space="0" w:color="000000"/>
                              <w:right w:val="nil"/>
                              <w:tl2br w:val="nil"/>
                              <w:tr2bl w:val="nil"/>
                            </w:tcBorders>
                            <w:shd w:val="clear" w:color="FFFFFF" w:fill="FFFFFF"/>
                            <w:noWrap/>
                            <w:tcMar>
                              <w:left w:w="40" w:type="dxa"/>
                              <w:right w:w="85"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52.8</w:t>
                            </w:r>
                          </w:p>
                        </w:tc>
                      </w:tr>
                    </w:tbl>
                    <w:p w:rsidR="00257451" w:rsidRPr="00257451" w:rsidP="00257451" w14:paraId="53EC68D3" w14:textId="77777777">
                      <w:pPr>
                        <w:rPr>
                          <w:lang w:val="fi-FI"/>
                        </w:rPr>
                      </w:pPr>
                    </w:p>
                    <w:p w:rsidR="00285854" w:rsidP="00285854" w14:paraId="2F7E3CF9" w14:textId="77777777">
                      <w:pPr>
                        <w:pStyle w:val="Wnormal0"/>
                        <w:spacing w:after="120"/>
                        <w:rPr>
                          <w:b/>
                          <w:bCs/>
                          <w:color w:val="FF7321"/>
                          <w:szCs w:val="17"/>
                        </w:rPr>
                      </w:pPr>
                    </w:p>
                  </w:txbxContent>
                </v:textbox>
                <w10:wrap type="square"/>
              </v:shape>
            </w:pict>
          </mc:Fallback>
        </mc:AlternateContent>
      </w:r>
      <w:bookmarkStart w:id="35" w:name="RG_MARKER_4141"/>
      <w:r w:rsidRPr="0063775B">
        <w:t>Shares and shareholders</w:t>
      </w:r>
      <w:bookmarkEnd w:id="35"/>
    </w:p>
    <w:p w:rsidR="0063775B" w:rsidP="00A059AF" w14:paraId="0F49C73F" w14:textId="77777777">
      <w:pPr>
        <w:pStyle w:val="Wnormal0"/>
      </w:pPr>
      <w:r w:rsidRPr="00265648">
        <w:rPr>
          <w:lang w:val="en-GB"/>
        </w:rPr>
        <w:t>In</w:t>
      </w:r>
      <w:r w:rsidRPr="00265648" w:rsidR="00C42653">
        <w:rPr>
          <w:lang w:val="en-GB"/>
        </w:rPr>
        <w:t xml:space="preserve"> </w:t>
      </w:r>
      <w:r w:rsidRPr="00265648" w:rsidR="00C42653">
        <w:rPr>
          <w:lang w:val="en-GB"/>
        </w:rPr>
        <w:t>2020</w:t>
      </w:r>
      <w:r w:rsidRPr="00265648">
        <w:rPr>
          <w:lang w:val="en-GB"/>
        </w:rPr>
        <w:t>, the number of shares traded on Nasdaq Helsinki was</w:t>
      </w:r>
      <w:r>
        <w:rPr>
          <w:lang w:val="en-GB"/>
        </w:rPr>
        <w:t xml:space="preserve"> </w:t>
      </w:r>
      <w:r>
        <w:rPr>
          <w:lang w:val="en-GB"/>
        </w:rPr>
        <w:t>635,449,872</w:t>
      </w:r>
      <w:r w:rsidRPr="00265648">
        <w:rPr>
          <w:lang w:val="en-GB"/>
        </w:rPr>
        <w:t xml:space="preserve">, equivalent to a turnover of EUR </w:t>
      </w:r>
      <w:r w:rsidRPr="00265648">
        <w:rPr>
          <w:lang w:val="en-GB"/>
        </w:rPr>
        <w:t>4,865</w:t>
      </w:r>
      <w:r w:rsidRPr="00265648">
        <w:rPr>
          <w:lang w:val="en-GB"/>
        </w:rPr>
        <w:t xml:space="preserve"> million. Wärtsilä's shares are also traded on alternative exchanges, such as Turquoise, BATS CXE, and BATS BXE. The total trading volume on these alternative exchanges was </w:t>
      </w:r>
      <w:r w:rsidRPr="00265648">
        <w:rPr>
          <w:lang w:val="en-GB"/>
        </w:rPr>
        <w:t>199,394,959</w:t>
      </w:r>
      <w:r w:rsidRPr="0063775B">
        <w:t xml:space="preserve"> shares.</w:t>
      </w:r>
    </w:p>
    <w:p w:rsidR="004B441D" w:rsidP="00A059AF" w14:paraId="1C6D85EB" w14:textId="77777777">
      <w:pPr>
        <w:pStyle w:val="Wnormal0"/>
        <w:rPr>
          <w:lang w:val="en-GB"/>
        </w:rPr>
        <w:sectPr w:rsidSect="00D54E5D">
          <w:pgSz w:w="16838" w:h="11906" w:orient="landscape"/>
          <w:pgMar w:top="1814" w:right="737" w:bottom="1247" w:left="737" w:header="720" w:footer="720" w:gutter="0"/>
          <w:pgBorders w:zOrder="front" w:display="allPages" w:offsetFrom="text">
            <w:top w:val="nil"/>
            <w:left w:val="nil"/>
            <w:bottom w:val="nil"/>
            <w:right w:val="nil"/>
          </w:pgBorders>
          <w:cols w:num="3" w:sep="0" w:space="510" w:equalWidth="1"/>
          <w:vAlign w:val="top"/>
          <w:titlePg w:val="0"/>
          <w:rtlGutter w:val="0"/>
          <w:docGrid w:linePitch="360"/>
        </w:sectPr>
      </w:pPr>
    </w:p>
    <w:p w:rsidR="004B441D" w:rsidRPr="00265648" w:rsidP="006B53B0" w14:paraId="30B74D88" w14:textId="77777777">
      <w:pPr>
        <w:pStyle w:val="Wnormal0"/>
        <w:spacing w:after="0" w:line="20" w:lineRule="exact"/>
        <w:rPr>
          <w:lang w:val="en-GB"/>
        </w:rPr>
      </w:pPr>
      <w:r w:rsidRPr="0063775B">
        <w:rPr>
          <w:noProof/>
        </w:rPr>
        <mc:AlternateContent>
          <mc:Choice Requires="wps">
            <w:drawing>
              <wp:anchor distT="45720" distB="45720" distL="114300" distR="114300" simplePos="0" relativeHeight="251663360" behindDoc="0" locked="0" layoutInCell="1" allowOverlap="1">
                <wp:simplePos x="0" y="0"/>
                <wp:positionH relativeFrom="rightMargin">
                  <wp:posOffset>-9838690</wp:posOffset>
                </wp:positionH>
                <wp:positionV relativeFrom="bottomMargin">
                  <wp:posOffset>-5695950</wp:posOffset>
                </wp:positionV>
                <wp:extent cx="6622415" cy="5342890"/>
                <wp:effectExtent l="0" t="0" r="6985" b="0"/>
                <wp:wrapSquare wrapText="bothSides"/>
                <wp:docPr id="248357984" name="Text Box 1"/>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622415" cy="5342890"/>
                        </a:xfrm>
                        <a:prstGeom prst="rect">
                          <a:avLst/>
                        </a:prstGeom>
                        <a:solidFill>
                          <a:srgbClr val="FFFFFF"/>
                        </a:solidFill>
                        <a:ln w="9525">
                          <a:noFill/>
                          <a:miter lim="800000"/>
                          <a:headEnd/>
                          <a:tailEnd/>
                        </a:ln>
                      </wps:spPr>
                      <wps:txbx>
                        <w:txbxContent>
                          <w:p w:rsidR="00285854" w:rsidP="00EF49B8" w14:textId="77777777">
                            <w:pPr>
                              <w:pStyle w:val="Subtitle"/>
                              <w:rPr>
                                <w:lang w:val="en-GB"/>
                              </w:rPr>
                            </w:pPr>
                            <w:r w:rsidRPr="00A42CC5">
                              <w:rPr>
                                <w:lang w:val="en-GB"/>
                              </w:rPr>
                              <w:t>Flagging notifications</w:t>
                            </w:r>
                          </w:p>
                          <w:p w:rsidR="00A42CC5" w:rsidRPr="00B00CE3" w:rsidP="00A42CC5" w14:textId="77777777">
                            <w:pPr>
                              <w:pStyle w:val="Wnormal0"/>
                              <w:rPr>
                                <w:lang w:val="en-GB"/>
                              </w:rPr>
                            </w:pPr>
                            <w:r w:rsidRPr="00B00CE3">
                              <w:rPr>
                                <w:lang w:val="en-GB"/>
                              </w:rPr>
                              <w:t xml:space="preserve">Wärtsilä was informed of the following changes in ownership during </w:t>
                            </w:r>
                            <w:r>
                              <w:rPr>
                                <w:lang w:val="en-GB"/>
                              </w:rPr>
                              <w:t>2020</w:t>
                            </w:r>
                            <w:r w:rsidRPr="00B00CE3">
                              <w:rPr>
                                <w:lang w:val="en-GB"/>
                              </w:rPr>
                              <w:t>:</w:t>
                            </w:r>
                          </w:p>
                          <w:tbl>
                            <w:tblPr>
                              <w:tblStyle w:val="TableNormal"/>
                              <w:tblCaption w:val="Table_Flagging_EN"/>
                              <w:tblW w:w="10125" w:type="dxa"/>
                              <w:tblLayout w:type="fixed"/>
                              <w:tblLook w:val="0600"/>
                            </w:tblPr>
                            <w:tblGrid>
                              <w:gridCol w:w="2025"/>
                              <w:gridCol w:w="2025"/>
                              <w:gridCol w:w="2025"/>
                              <w:gridCol w:w="2025"/>
                              <w:gridCol w:w="2025"/>
                            </w:tblGrid>
                            <w:tr>
                              <w:tblPrEx>
                                <w:tblW w:w="10125" w:type="dxa"/>
                                <w:tblLayout w:type="fixed"/>
                                <w:tblLook w:val="0600"/>
                              </w:tblPrEx>
                              <w:trPr>
                                <w:trHeight w:hRule="exact" w:val="253"/>
                              </w:trPr>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Transaction date</w:t>
                                  </w:r>
                                </w:p>
                              </w:tc>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Shareholder</w:t>
                                  </w:r>
                                </w:p>
                              </w:tc>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Treshold</w:t>
                                  </w:r>
                                </w:p>
                              </w:tc>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Direct holding, %</w:t>
                                  </w:r>
                                </w:p>
                              </w:tc>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Total holding, %</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24.3.2020</w:t>
                                  </w:r>
                                </w:p>
                              </w:tc>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4.85</w:t>
                                  </w:r>
                                </w:p>
                              </w:tc>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5.11</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31.3.2020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4.30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4.82</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1.4.2020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4.48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2.4.2020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4.37</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4.94</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25.5.2020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4.48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26.5.2020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18.6.2020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4.69</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5.13</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15.7.2020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5.02</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5.80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23.7.2020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5.33</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24.7.2020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5.12</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5.54</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27.7.2020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5.44</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28.7.2020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5.01</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5.47</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29.7.2020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31.7.2020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5.04</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5.48</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5.8.2020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4.99</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5.43</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6.8.2020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5.47</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11.8.2020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4.96</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5.31</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11.9.2020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5.03</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5.58</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18.9.2020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4.78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5.57</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21.10.2020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14.12.2020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4.89</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15.12.2020</w:t>
                                  </w:r>
                                </w:p>
                              </w:tc>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r>
                          </w:tbl>
                          <w:p w:rsidR="00257451" w:rsidRPr="00A42CC5" w:rsidP="00257451" w14:textId="77777777">
                            <w:pPr>
                              <w:rPr>
                                <w:lang w:val="en-GB"/>
                              </w:rPr>
                            </w:pPr>
                          </w:p>
                          <w:p w:rsidR="00285854" w:rsidRPr="00A42CC5" w:rsidP="00285854" w14:textId="77777777">
                            <w:pPr>
                              <w:pStyle w:val="Wnormal0"/>
                              <w:spacing w:after="120"/>
                              <w:rPr>
                                <w:szCs w:val="17"/>
                                <w:lang w:val="en-GB"/>
                              </w:rPr>
                            </w:pP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id="Text Box 1" o:spid="_x0000_s1031" type="#_x0000_t202" style="width:521.45pt;height:420.7pt;margin-top:-448.5pt;margin-left:-774.7pt;mso-height-percent:0;mso-height-relative:margin;mso-position-horizontal-relative:right-margin-area;mso-position-vertical-relative:bottom-margin-area;mso-width-percent:0;mso-width-relative:margin;mso-wrap-distance-bottom:3.6pt;mso-wrap-distance-left:9pt;mso-wrap-distance-right:9pt;mso-wrap-distance-top:3.6pt;position:absolute;v-text-anchor:top;z-index:251662336" fillcolor="white" stroked="f" strokeweight="0.75pt">
                <v:textbox>
                  <w:txbxContent>
                    <w:p w:rsidR="00285854" w:rsidP="00EF49B8" w14:textId="77777777">
                      <w:pPr>
                        <w:pStyle w:val="Subtitle"/>
                        <w:rPr>
                          <w:lang w:val="en-GB"/>
                        </w:rPr>
                      </w:pPr>
                      <w:r w:rsidRPr="00A42CC5">
                        <w:rPr>
                          <w:lang w:val="en-GB"/>
                        </w:rPr>
                        <w:t>Flagging notifications</w:t>
                      </w:r>
                    </w:p>
                    <w:p w:rsidR="00A42CC5" w:rsidRPr="00B00CE3" w:rsidP="00A42CC5" w14:textId="77777777">
                      <w:pPr>
                        <w:pStyle w:val="Wnormal0"/>
                        <w:rPr>
                          <w:lang w:val="en-GB"/>
                        </w:rPr>
                      </w:pPr>
                      <w:r w:rsidRPr="00B00CE3">
                        <w:rPr>
                          <w:lang w:val="en-GB"/>
                        </w:rPr>
                        <w:t xml:space="preserve">Wärtsilä was informed of the following changes in ownership during </w:t>
                      </w:r>
                      <w:r>
                        <w:rPr>
                          <w:lang w:val="en-GB"/>
                        </w:rPr>
                        <w:t>2020</w:t>
                      </w:r>
                      <w:r w:rsidRPr="00B00CE3">
                        <w:rPr>
                          <w:lang w:val="en-GB"/>
                        </w:rPr>
                        <w:t>:</w:t>
                      </w:r>
                    </w:p>
                    <w:tbl>
                      <w:tblPr>
                        <w:tblStyle w:val="TableNormal"/>
                        <w:tblCaption w:val="Table_Flagging_EN"/>
                        <w:tblW w:w="10125" w:type="dxa"/>
                        <w:tblLayout w:type="fixed"/>
                        <w:tblLook w:val="0600"/>
                      </w:tblPr>
                      <w:tblGrid>
                        <w:gridCol w:w="2025"/>
                        <w:gridCol w:w="2025"/>
                        <w:gridCol w:w="2025"/>
                        <w:gridCol w:w="2025"/>
                        <w:gridCol w:w="2025"/>
                      </w:tblGrid>
                      <w:tr>
                        <w:tblPrEx>
                          <w:tblW w:w="10125" w:type="dxa"/>
                          <w:tblLayout w:type="fixed"/>
                          <w:tblLook w:val="0600"/>
                        </w:tblPrEx>
                        <w:trPr>
                          <w:trHeight w:hRule="exact" w:val="253"/>
                        </w:trPr>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Transaction date</w:t>
                            </w:r>
                          </w:p>
                        </w:tc>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Shareholder</w:t>
                            </w:r>
                          </w:p>
                        </w:tc>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Treshold</w:t>
                            </w:r>
                          </w:p>
                        </w:tc>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Direct holding, %</w:t>
                            </w:r>
                          </w:p>
                        </w:tc>
                        <w:tc>
                          <w:tcPr>
                            <w:tcW w:w="2025" w:type="dxa"/>
                            <w:tcBorders>
                              <w:top w:val="nil"/>
                              <w:left w:val="nil"/>
                              <w:bottom w:val="single" w:sz="8" w:space="0" w:color="000000"/>
                              <w:right w:val="nil"/>
                              <w:tl2br w:val="nil"/>
                              <w:tr2bl w:val="nil"/>
                            </w:tcBorders>
                            <w:shd w:val="clear" w:color="FFFFFF" w:fill="F0F4F6"/>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4"/>
                                <w:u w:val="none"/>
                                <w:vertAlign w:val="baseline"/>
                              </w:rPr>
                            </w:pPr>
                            <w:r>
                              <w:rPr>
                                <w:rFonts w:ascii="Arial" w:eastAsia="Arial" w:hAnsi="Arial" w:cs="Arial"/>
                                <w:b/>
                                <w:i w:val="0"/>
                                <w:strike w:val="0"/>
                                <w:color w:val="000000"/>
                                <w:sz w:val="14"/>
                                <w:u w:val="none"/>
                                <w:vertAlign w:val="baseline"/>
                              </w:rPr>
                              <w:t>Total holding, %</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24.3.2020</w:t>
                            </w:r>
                          </w:p>
                        </w:tc>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4.85</w:t>
                            </w:r>
                          </w:p>
                        </w:tc>
                        <w:tc>
                          <w:tcPr>
                            <w:tcW w:w="2025" w:type="dxa"/>
                            <w:tcBorders>
                              <w:top w:val="single" w:sz="8" w:space="0" w:color="000000"/>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5.11</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31.3.2020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4.30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4.82</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1.4.2020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4.48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2.4.2020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4.37</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4.94</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25.5.2020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4.48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26.5.2020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18.6.2020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4.69</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5.13</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15.7.2020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5.02</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5.80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23.7.2020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5.33</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24.7.2020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5.12</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5.54</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27.7.2020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5.44</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28.7.2020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5.01</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5.47</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29.7.2020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31.7.2020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5.04</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5.48</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5.8.2020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4.99</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5.43</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6.8.2020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5.47</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11.8.2020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4.96</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5.31</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11.9.2020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5.03</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5.58</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18.9.2020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4.78</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5.57</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21.10.2020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14.12.2020</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Above 5%</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4.89</w:t>
                            </w:r>
                          </w:p>
                        </w:tc>
                        <w:tc>
                          <w:tcPr>
                            <w:tcW w:w="2025" w:type="dxa"/>
                            <w:tcBorders>
                              <w:top w:val="single" w:sz="4" w:space="0" w:color="004B6B"/>
                              <w:left w:val="nil"/>
                              <w:bottom w:val="single" w:sz="4" w:space="0" w:color="004B6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5.00</w:t>
                            </w:r>
                          </w:p>
                        </w:tc>
                      </w:tr>
                      <w:tr>
                        <w:tblPrEx>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3"/>
                        </w:trPr>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15.12.2020</w:t>
                            </w:r>
                          </w:p>
                        </w:tc>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BlackRock, Inc.</w:t>
                            </w:r>
                          </w:p>
                        </w:tc>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c>
                          <w:tcPr>
                            <w:tcW w:w="2025" w:type="dxa"/>
                            <w:tcBorders>
                              <w:top w:val="single" w:sz="4" w:space="0" w:color="004B6B"/>
                              <w:left w:val="nil"/>
                              <w:bottom w:val="single" w:sz="4" w:space="0" w:color="000000"/>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val="0"/>
                                <w:i w:val="0"/>
                                <w:strike w:val="0"/>
                                <w:color w:val="111111"/>
                                <w:sz w:val="14"/>
                                <w:u w:val="none"/>
                                <w:vertAlign w:val="baseline"/>
                              </w:rPr>
                            </w:pPr>
                            <w:r>
                              <w:rPr>
                                <w:rFonts w:ascii="Arial" w:eastAsia="Arial" w:hAnsi="Arial" w:cs="Arial"/>
                                <w:b w:val="0"/>
                                <w:i w:val="0"/>
                                <w:strike w:val="0"/>
                                <w:color w:val="111111"/>
                                <w:sz w:val="14"/>
                                <w:u w:val="none"/>
                                <w:vertAlign w:val="baseline"/>
                              </w:rPr>
                              <w:t>Below 5%</w:t>
                            </w:r>
                          </w:p>
                        </w:tc>
                      </w:tr>
                    </w:tbl>
                    <w:p w:rsidR="00257451" w:rsidRPr="00A42CC5" w:rsidP="00257451" w14:textId="77777777">
                      <w:pPr>
                        <w:rPr>
                          <w:lang w:val="en-GB"/>
                        </w:rPr>
                      </w:pPr>
                    </w:p>
                    <w:p w:rsidR="00285854" w:rsidRPr="00A42CC5" w:rsidP="00285854" w14:textId="77777777">
                      <w:pPr>
                        <w:pStyle w:val="Wnormal0"/>
                        <w:spacing w:after="120"/>
                        <w:rPr>
                          <w:szCs w:val="17"/>
                          <w:lang w:val="en-GB"/>
                        </w:rPr>
                      </w:pPr>
                    </w:p>
                  </w:txbxContent>
                </v:textbox>
                <w10:wrap type="square"/>
              </v:shape>
            </w:pict>
          </mc:Fallback>
        </mc:AlternateContent>
      </w:r>
      <w:r>
        <w:rPr>
          <w:lang w:val="en-GB"/>
        </w:rPr>
        <w:br w:type="column"/>
      </w:r>
      <w:r>
        <w:rPr>
          <w:lang w:val="en-GB"/>
        </w:rPr>
        <w:br w:type="column"/>
      </w:r>
    </w:p>
    <w:p w:rsidR="00005EB7" w:rsidRPr="00624306" w:rsidP="00821615">
      <w:pPr>
        <w:pStyle w:val="WHeadingException1"/>
      </w:pPr>
      <w:bookmarkStart w:id="36" w:name="RG_MARKER_5019"/>
      <w:r w:rsidRPr="00624306">
        <w:t>Decisions taken by the Annual General Meeting</w:t>
      </w:r>
      <w:bookmarkEnd w:id="36"/>
    </w:p>
    <w:p w:rsidR="00005EB7" w:rsidRPr="007D4159" w:rsidP="00451945">
      <w:pPr>
        <w:pStyle w:val="Wnormal0"/>
      </w:pPr>
      <w:r w:rsidRPr="007D4159">
        <w:t>Wärtsilä’s Annual General Meeting, held on 5 March 2020, approved the financial statements</w:t>
      </w:r>
      <w:r w:rsidRPr="007D4159">
        <w:t xml:space="preserve"> and discharged the members of the Board of Directors and the company’s President &amp; CEO from liability for the financial year 2019.</w:t>
      </w:r>
    </w:p>
    <w:p w:rsidR="00005EB7" w:rsidRPr="007D4159" w:rsidP="00451945">
      <w:pPr>
        <w:pStyle w:val="Wnormal0"/>
      </w:pPr>
      <w:r w:rsidRPr="007D4159">
        <w:t>The Annual General Meeting decided that the Board of Directors shall have eight members. The following were elected to the B</w:t>
      </w:r>
      <w:r w:rsidRPr="007D4159">
        <w:t>oard: Maarit Aarni-Sirviö, Karen Bomba, Karin Falk, Johan Forssell, Tom Johnstone, Risto Murto, Mats Rahmström and Markus Rauramo.</w:t>
      </w:r>
    </w:p>
    <w:p w:rsidR="00403AA6" w:rsidRPr="007D4159" w:rsidP="00451945">
      <w:pPr>
        <w:pStyle w:val="Wnormal0"/>
      </w:pPr>
      <w:r w:rsidRPr="007D4159">
        <w:t>The audit firm PricewaterhouseCoopers Oy was elected as the company’s auditor for the year 2020.</w:t>
      </w:r>
    </w:p>
    <w:p w:rsidR="00D37CFA" w:rsidRPr="007D4159" w:rsidP="00624306">
      <w:pPr>
        <w:pStyle w:val="WHeading40"/>
      </w:pPr>
      <w:r w:rsidRPr="007D4159">
        <w:t>Dividend distribution</w:t>
      </w:r>
    </w:p>
    <w:p w:rsidR="00D37CFA" w:rsidRPr="007D4159" w:rsidP="00451945">
      <w:pPr>
        <w:pStyle w:val="Wnormal0"/>
      </w:pPr>
      <w:r w:rsidRPr="007D4159">
        <w:t>The An</w:t>
      </w:r>
      <w:r w:rsidRPr="007D4159">
        <w:t>nual General Meeting approved the Board of Directors’ proposal to pay a dividend of EUR 0.48 per share in two instalments. The first instalment of EUR 0.24 per share was paid on 16 March 2020</w:t>
      </w:r>
      <w:r>
        <w:t xml:space="preserve"> </w:t>
      </w:r>
      <w:r w:rsidRPr="00F00884">
        <w:t xml:space="preserve">and the second instalment of EUR 0.24 per share on 17 September </w:t>
      </w:r>
      <w:r w:rsidRPr="00F00884">
        <w:t>2020.</w:t>
      </w:r>
    </w:p>
    <w:p w:rsidR="00D37CFA" w:rsidRPr="007D4159" w:rsidP="00624306">
      <w:pPr>
        <w:pStyle w:val="WHeading40"/>
      </w:pPr>
      <w:r w:rsidRPr="007D4159">
        <w:t>Shareholders’ Nomination Board</w:t>
      </w:r>
    </w:p>
    <w:p w:rsidR="00D37CFA" w:rsidP="00451945">
      <w:pPr>
        <w:pStyle w:val="Wnormal0"/>
      </w:pPr>
      <w:r w:rsidRPr="007D4159">
        <w:t>The Annual General Meeting decided to establish a Shareholders’ Nomination Board to prepare matters pertaining to the appointment and remuneration of the Board of Directors. It also adopted the proposed Charter of the S</w:t>
      </w:r>
      <w:r w:rsidRPr="007D4159">
        <w:t>hareholders’ Nomination Board. The Charter is available on Wärtsilä Corporation’s website.</w:t>
      </w:r>
    </w:p>
    <w:p w:rsidR="003B6CC9" w:rsidRPr="003B6CC9" w:rsidP="00451945">
      <w:pPr>
        <w:pStyle w:val="Wnormal0"/>
      </w:pPr>
      <w:r w:rsidRPr="003B6CC9">
        <w:t>The Nomination Board consists of five members. Four representatives are nominated by the company’s four largest shareholders, with the fifth member being the Chairma</w:t>
      </w:r>
      <w:r w:rsidRPr="003B6CC9">
        <w:t xml:space="preserve">n of Wärtsilä’s Board of Directors. The four largest shareholders are determined on the basis of the shareholders’ register maintained by Euroclear Finland </w:t>
      </w:r>
      <w:r>
        <w:t>Oy</w:t>
      </w:r>
      <w:r w:rsidRPr="003B6CC9">
        <w:t xml:space="preserve"> as of 1 June preceding the Annual General Meeting of shareholders.</w:t>
      </w:r>
    </w:p>
    <w:p w:rsidR="003B6CC9" w:rsidRPr="003B6CC9" w:rsidP="00451945">
      <w:pPr>
        <w:pStyle w:val="Wnormal0"/>
      </w:pPr>
      <w:r w:rsidRPr="003B6CC9">
        <w:t xml:space="preserve">The following members </w:t>
      </w:r>
      <w:r>
        <w:t>were</w:t>
      </w:r>
      <w:r w:rsidRPr="003B6CC9">
        <w:t xml:space="preserve"> app</w:t>
      </w:r>
      <w:r w:rsidRPr="003B6CC9">
        <w:t>ointed to Wärtsilä’s Shareholders’ Nomination Board:</w:t>
      </w:r>
    </w:p>
    <w:p w:rsidR="003B6CC9" w:rsidRPr="003B6CC9" w:rsidP="00D559D4">
      <w:pPr>
        <w:pStyle w:val="Wnormal0"/>
        <w:numPr>
          <w:ilvl w:val="0"/>
          <w:numId w:val="1"/>
        </w:numPr>
        <w:spacing w:line="240" w:lineRule="auto"/>
        <w:ind w:left="714" w:hanging="357"/>
      </w:pPr>
      <w:r w:rsidRPr="003B6CC9">
        <w:t>Petra Hedengran (General Counsel, Investor AB), appointed by Invaw Invest AB</w:t>
      </w:r>
    </w:p>
    <w:p w:rsidR="003B6CC9" w:rsidRPr="003B6CC9" w:rsidP="00D559D4">
      <w:pPr>
        <w:pStyle w:val="Wnormal0"/>
        <w:numPr>
          <w:ilvl w:val="0"/>
          <w:numId w:val="1"/>
        </w:numPr>
        <w:spacing w:line="240" w:lineRule="auto"/>
        <w:ind w:left="714" w:hanging="357"/>
      </w:pPr>
      <w:r w:rsidRPr="003B6CC9">
        <w:t>Reima Rytsölä (Deputy CEO, Investments, Varma Mutual Pension Insurance Company), appointed by Varma Mutual Pension Insurance C</w:t>
      </w:r>
      <w:r w:rsidRPr="003B6CC9">
        <w:t>ompany</w:t>
      </w:r>
    </w:p>
    <w:p w:rsidR="003B6CC9" w:rsidRPr="003B6CC9" w:rsidP="00D559D4">
      <w:pPr>
        <w:pStyle w:val="Wnormal0"/>
        <w:numPr>
          <w:ilvl w:val="0"/>
          <w:numId w:val="1"/>
        </w:numPr>
        <w:spacing w:line="240" w:lineRule="auto"/>
        <w:ind w:left="714" w:hanging="357"/>
      </w:pPr>
      <w:r w:rsidRPr="003B6CC9">
        <w:t>Mikko Mursula (Deputy CEO, Chief Investment Officer, Ilmarinen Mutual Pension Insurance Company), appointed by Ilmarinen Mutual Pension Insurance Company</w:t>
      </w:r>
    </w:p>
    <w:p w:rsidR="003B6CC9" w:rsidRPr="003B6CC9" w:rsidP="00D559D4">
      <w:pPr>
        <w:pStyle w:val="Wnormal0"/>
        <w:numPr>
          <w:ilvl w:val="0"/>
          <w:numId w:val="1"/>
        </w:numPr>
        <w:spacing w:line="240" w:lineRule="auto"/>
        <w:ind w:left="714" w:hanging="357"/>
      </w:pPr>
      <w:r w:rsidRPr="003B6CC9">
        <w:t>Satu Huber (CEO, Elo Mutual Pension Insurance Company), appointed by Elo Mutual Pension Insuran</w:t>
      </w:r>
      <w:r w:rsidRPr="003B6CC9">
        <w:t>ce Company</w:t>
      </w:r>
    </w:p>
    <w:p w:rsidR="003B6CC9" w:rsidRPr="003B6CC9" w:rsidP="00D559D4">
      <w:pPr>
        <w:pStyle w:val="Wnormal0"/>
        <w:numPr>
          <w:ilvl w:val="0"/>
          <w:numId w:val="1"/>
        </w:numPr>
        <w:spacing w:line="240" w:lineRule="auto"/>
        <w:ind w:left="714" w:hanging="357"/>
      </w:pPr>
      <w:r w:rsidRPr="003B6CC9">
        <w:t>Tom Johnstone (Chairman of the Board of Directors of Wärtsilä)</w:t>
      </w:r>
    </w:p>
    <w:p w:rsidR="008E4478" w:rsidRPr="007D4159" w:rsidP="00624306">
      <w:pPr>
        <w:pStyle w:val="WHeading40"/>
      </w:pPr>
      <w:r w:rsidRPr="007D4159">
        <w:t>Authorisation to repurchase the company’s own shares</w:t>
      </w:r>
    </w:p>
    <w:p w:rsidR="008E4478" w:rsidRPr="007D4159" w:rsidP="00451945">
      <w:pPr>
        <w:pStyle w:val="Wnormal0"/>
      </w:pPr>
      <w:r w:rsidRPr="007D4159">
        <w:t>The Board of Directors was authorised to resolve to repurchase a maximum of 57,000,000 of the company’s own shares. The authorisa</w:t>
      </w:r>
      <w:r w:rsidRPr="007D4159">
        <w:t>tion to repurchase the company’s own shares shall be valid until the close of the next Annual General Meeting, however no longer than for 18 months from the authorisation of the shareholders’ meeting.</w:t>
      </w:r>
    </w:p>
    <w:p w:rsidR="008E4478" w:rsidRPr="007D4159" w:rsidP="00624306">
      <w:pPr>
        <w:pStyle w:val="WHeading40"/>
      </w:pPr>
      <w:r w:rsidRPr="007D4159">
        <w:t>Authorisation to issue shares</w:t>
      </w:r>
    </w:p>
    <w:p w:rsidR="008E4478" w:rsidRPr="007D4159" w:rsidP="00451945">
      <w:pPr>
        <w:pStyle w:val="Wnormal0"/>
      </w:pPr>
      <w:r w:rsidRPr="007D4159">
        <w:t>The Board of Directors wa</w:t>
      </w:r>
      <w:r w:rsidRPr="007D4159">
        <w:t>s authorised to resolve to issue new shares or transfer shares held by the company. The maximum amount of shares to be so issued shall not exceed 57,000,000. The shares can be issued for consideration or without consideration. They can also be issued in de</w:t>
      </w:r>
      <w:r w:rsidRPr="007D4159">
        <w:t>viation from the shareholders’ pre-emptive rights by way of a directed issue if there is a weighty financial reason for the company to do so. The authorisation for the Board of Directors to issue shares shall be valid for three years from the authorisation</w:t>
      </w:r>
      <w:r w:rsidRPr="007D4159">
        <w:t xml:space="preserve"> of the shareholders’ </w:t>
      </w:r>
      <w:r w:rsidRPr="007D4159">
        <w:t>meeting and it cancels the authorisation given by the General Meeting on 7 March 2019 to distribute the company’s own shares.</w:t>
      </w:r>
    </w:p>
    <w:p w:rsidR="007D4159" w:rsidRPr="007D4159" w:rsidP="00624306">
      <w:pPr>
        <w:pStyle w:val="WHeading40"/>
      </w:pPr>
      <w:r w:rsidRPr="007D4159">
        <w:t>Organisation of the Board of Directors</w:t>
      </w:r>
    </w:p>
    <w:p w:rsidR="007D4159" w:rsidRPr="001E1C1C" w:rsidP="00451945">
      <w:pPr>
        <w:pStyle w:val="Wnormal0"/>
      </w:pPr>
      <w:r w:rsidRPr="007D4159">
        <w:t>Convening after the Annual General Meeting, the Board of Directors el</w:t>
      </w:r>
      <w:r w:rsidRPr="007D4159">
        <w:t xml:space="preserve">ected Tom Johnstone as its chairman and Markus Rauramo as the deputy chairman. The Board decided to establish </w:t>
      </w:r>
      <w:r w:rsidRPr="001E1C1C">
        <w:t xml:space="preserve">an Audit Committee and a </w:t>
      </w:r>
      <w:r w:rsidRPr="001E1C1C">
        <w:t>People</w:t>
      </w:r>
      <w:r w:rsidRPr="001E1C1C">
        <w:t xml:space="preserve"> Committee. The Board appointed from among its members the following members to the Committees:</w:t>
      </w:r>
    </w:p>
    <w:p w:rsidR="007D4159" w:rsidRPr="001E1C1C" w:rsidP="00451945">
      <w:pPr>
        <w:pStyle w:val="Wnormal0"/>
      </w:pPr>
      <w:r w:rsidRPr="001E1C1C">
        <w:rPr>
          <w:b/>
          <w:bCs/>
        </w:rPr>
        <w:t>Audit Committee:</w:t>
      </w:r>
      <w:r w:rsidRPr="001E1C1C">
        <w:t xml:space="preserve"> </w:t>
      </w:r>
      <w:r w:rsidRPr="001E1C1C">
        <w:t>Ch</w:t>
      </w:r>
      <w:r w:rsidRPr="001E1C1C">
        <w:t>air</w:t>
      </w:r>
      <w:r w:rsidRPr="001E1C1C">
        <w:t xml:space="preserve"> Markus Rauramo, Maarit Aarni-Sirviö, Risto Murto</w:t>
      </w:r>
    </w:p>
    <w:p w:rsidR="00D37CFA" w:rsidRPr="007D4159" w:rsidP="00451945">
      <w:pPr>
        <w:pStyle w:val="Wnormal0"/>
      </w:pPr>
      <w:r w:rsidRPr="001E1C1C">
        <w:rPr>
          <w:b/>
          <w:bCs/>
        </w:rPr>
        <w:t>People</w:t>
      </w:r>
      <w:r w:rsidRPr="001E1C1C">
        <w:rPr>
          <w:b/>
          <w:bCs/>
        </w:rPr>
        <w:t xml:space="preserve"> Committee:</w:t>
      </w:r>
      <w:r w:rsidRPr="001E1C1C">
        <w:t xml:space="preserve"> </w:t>
      </w:r>
      <w:r w:rsidRPr="001E1C1C">
        <w:t>Chair</w:t>
      </w:r>
      <w:r w:rsidRPr="001E1C1C">
        <w:t xml:space="preserve"> Maarit Aarni-Sirviö, Johan Forssell, Tom Johnstone</w:t>
      </w:r>
    </w:p>
    <w:p w:rsidR="00845F61" w:rsidRPr="00AF0214" w:rsidP="00C9270D">
      <w:pPr>
        <w:pStyle w:val="WHeading20"/>
      </w:pPr>
      <w:bookmarkStart w:id="37" w:name="RG_MARKER_5021"/>
      <w:r w:rsidRPr="00AF0214">
        <w:t xml:space="preserve">Wärtsilä's </w:t>
      </w:r>
      <w:bookmarkEnd w:id="37"/>
      <w:r w:rsidRPr="00616109">
        <w:t>prospects</w:t>
      </w:r>
      <w:r>
        <w:t xml:space="preserve"> for 2021</w:t>
      </w:r>
    </w:p>
    <w:p w:rsidR="00B4426B" w:rsidRPr="00186FEA" w:rsidP="00186FEA">
      <w:pPr>
        <w:pStyle w:val="Wnormal0"/>
        <w:rPr>
          <w:sz w:val="20"/>
        </w:rPr>
      </w:pPr>
      <w:r w:rsidRPr="003C522E">
        <w:t xml:space="preserve">Wärtsilä expects the near-term demand environment </w:t>
      </w:r>
      <w:r w:rsidRPr="00E92C5C">
        <w:t>to be similar</w:t>
      </w:r>
      <w:r>
        <w:t xml:space="preserve"> to that of the </w:t>
      </w:r>
      <w:r w:rsidRPr="003C522E">
        <w:t xml:space="preserve">corresponding period </w:t>
      </w:r>
      <w:r>
        <w:t>in</w:t>
      </w:r>
      <w:r w:rsidRPr="003C522E">
        <w:t xml:space="preserve"> the previous year. However, visibility remains limited, and the prevailing market conditions make the outlook uncertain.</w:t>
      </w:r>
    </w:p>
    <w:p w:rsidR="004C30D4" w:rsidRPr="00FA5DCE" w:rsidP="00FC70A9">
      <w:pPr>
        <w:pStyle w:val="WHeadingException2"/>
      </w:pPr>
      <w:bookmarkStart w:id="38" w:name="RG_MARKER_5023"/>
      <w:r>
        <w:t>Board of Directors</w:t>
      </w:r>
      <w:bookmarkEnd w:id="38"/>
      <w:r w:rsidRPr="00FA5DCE">
        <w:t>’</w:t>
      </w:r>
      <w:r>
        <w:t xml:space="preserve"> dividend proposal</w:t>
      </w:r>
    </w:p>
    <w:p w:rsidR="00FA5DCE" w:rsidRPr="00F41BFE" w:rsidP="00635A61">
      <w:pPr>
        <w:pStyle w:val="Wnormal0"/>
      </w:pPr>
      <w:r w:rsidRPr="00FA5DCE">
        <w:t xml:space="preserve">The Board of Directors proposes that a dividend of </w:t>
      </w:r>
      <w:r>
        <w:t xml:space="preserve">EUR </w:t>
      </w:r>
      <w:r>
        <w:t>0.20</w:t>
      </w:r>
      <w:r w:rsidRPr="00FA5DCE">
        <w:rPr>
          <w:color w:val="FF0000"/>
        </w:rPr>
        <w:t xml:space="preserve"> </w:t>
      </w:r>
      <w:r w:rsidRPr="00FA5DCE">
        <w:t>per share be paid for the financial year</w:t>
      </w:r>
      <w:r>
        <w:t xml:space="preserve"> </w:t>
      </w:r>
      <w:r>
        <w:t>2020</w:t>
      </w:r>
      <w:r w:rsidRPr="00FA5DCE">
        <w:t xml:space="preserve">. The parent company’s distributable funds total EUR </w:t>
      </w:r>
      <w:r>
        <w:t>974,008,736.28</w:t>
      </w:r>
      <w:r w:rsidRPr="00FA5DCE">
        <w:t xml:space="preserve">, which includes EUR </w:t>
      </w:r>
      <w:r>
        <w:t xml:space="preserve">264,838,387.72 </w:t>
      </w:r>
      <w:r w:rsidRPr="00FA5DCE">
        <w:t xml:space="preserve">in net profit for the year. There are 591,723,390 shares with dividend rights. </w:t>
      </w:r>
      <w:r w:rsidRPr="00F41BFE">
        <w:t>The dividend shall be paid in two instalments.</w:t>
      </w:r>
    </w:p>
    <w:p w:rsidR="00FA5DCE" w:rsidRPr="00F41BFE" w:rsidP="00635A61">
      <w:pPr>
        <w:pStyle w:val="Wnormal0"/>
      </w:pPr>
      <w:r w:rsidRPr="00FA5DCE">
        <w:t>The first instalment of EUR</w:t>
      </w:r>
      <w:r w:rsidRPr="00FA5DCE">
        <w:t xml:space="preserve"> </w:t>
      </w:r>
      <w:r>
        <w:t>0.10</w:t>
      </w:r>
      <w:r w:rsidRPr="00F41BFE">
        <w:t xml:space="preserve"> </w:t>
      </w:r>
      <w:r w:rsidRPr="00FA5DCE">
        <w:t xml:space="preserve">per share shall be paid to the shareholders who are registered in the list of shareholders maintained by Euroclear Finland </w:t>
      </w:r>
      <w:r>
        <w:t>Oy</w:t>
      </w:r>
      <w:r w:rsidRPr="00FA5DCE">
        <w:t xml:space="preserve"> on the </w:t>
      </w:r>
      <w:r w:rsidRPr="00F41BFE">
        <w:t>dividend record date of 8 March 2021. The payment day proposed by the Board for this instalment is 15 March 2021.</w:t>
      </w:r>
    </w:p>
    <w:p w:rsidR="00B4426B" w:rsidRPr="002A6C34" w:rsidP="006C16DE">
      <w:pPr>
        <w:pStyle w:val="Wnormal0"/>
      </w:pPr>
      <w:r w:rsidRPr="00FA5DCE">
        <w:t>The</w:t>
      </w:r>
      <w:r w:rsidRPr="00FA5DCE">
        <w:t xml:space="preserve"> second instalment of EUR </w:t>
      </w:r>
      <w:r>
        <w:t>0.10</w:t>
      </w:r>
      <w:r w:rsidRPr="00FA5DCE">
        <w:rPr>
          <w:color w:val="FF0000"/>
        </w:rPr>
        <w:t xml:space="preserve"> </w:t>
      </w:r>
      <w:r w:rsidRPr="00FA5DCE">
        <w:t>per share shall be paid in September 202</w:t>
      </w:r>
      <w:r>
        <w:t>1</w:t>
      </w:r>
      <w:r w:rsidRPr="00FA5DCE">
        <w:t xml:space="preserve">. The second instalment of the dividend shall be paid to shareholders who are registered in the list of shareholders maintained by Euroclear Finland </w:t>
      </w:r>
      <w:r>
        <w:t>Oy</w:t>
      </w:r>
      <w:r w:rsidRPr="00FA5DCE">
        <w:t xml:space="preserve"> on the dividend record day, whic</w:t>
      </w:r>
      <w:r w:rsidRPr="00FA5DCE">
        <w:t xml:space="preserve">h, together with the payment day, shall be decided by the Board of Directors in its meeting scheduled for </w:t>
      </w:r>
      <w:r w:rsidRPr="00F41BFE">
        <w:t>9</w:t>
      </w:r>
      <w:r w:rsidRPr="00FA5DCE">
        <w:rPr>
          <w:color w:val="FF0000"/>
        </w:rPr>
        <w:t xml:space="preserve"> </w:t>
      </w:r>
      <w:r w:rsidRPr="00FA5DCE">
        <w:t>September 202</w:t>
      </w:r>
      <w:r>
        <w:t>1</w:t>
      </w:r>
      <w:r w:rsidRPr="00FA5DCE">
        <w:t xml:space="preserve">. The dividend record day for the second instalment as per the current </w:t>
      </w:r>
      <w:r w:rsidRPr="00F41BFE">
        <w:t>rules of the Finnish book-entry system would be 13 September 20</w:t>
      </w:r>
      <w:r w:rsidRPr="00F41BFE">
        <w:t xml:space="preserve">21 and the dividend payment day 20 September </w:t>
      </w:r>
      <w:r w:rsidRPr="00FA5DCE">
        <w:t>202</w:t>
      </w:r>
      <w:r>
        <w:t>1</w:t>
      </w:r>
      <w:r w:rsidRPr="00FA5DCE">
        <w:t>.</w:t>
      </w:r>
    </w:p>
    <w:p w:rsidR="006779C0" w:rsidRPr="000D6EC7" w:rsidP="00356656" w14:paraId="060815E4" w14:textId="77777777">
      <w:pPr>
        <w:pStyle w:val="Wnormal0"/>
        <w:spacing w:after="20" w:line="20" w:lineRule="exact"/>
        <w:rPr>
          <w:lang w:val="en-GB"/>
        </w:rPr>
      </w:pPr>
      <w:bookmarkStart w:id="39" w:name="RG_MARKER_5336"/>
      <w:r w:rsidRPr="00224CB7">
        <w:rPr>
          <w:noProof/>
          <w:lang w:val="en-GB"/>
        </w:rPr>
        <mc:AlternateContent>
          <mc:Choice Requires="wps">
            <w:drawing>
              <wp:anchor distT="45720" distB="45720" distL="114300" distR="114300" simplePos="0" relativeHeight="251665408" behindDoc="0" locked="0" layoutInCell="1" allowOverlap="1">
                <wp:simplePos x="0" y="0"/>
                <wp:positionH relativeFrom="column">
                  <wp:posOffset>0</wp:posOffset>
                </wp:positionH>
                <wp:positionV relativeFrom="paragraph">
                  <wp:posOffset>0</wp:posOffset>
                </wp:positionV>
                <wp:extent cx="3099816" cy="2916936"/>
                <wp:effectExtent l="0" t="0" r="5715" b="0"/>
                <wp:wrapTopAndBottom/>
                <wp:docPr id="681620755"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099816" cy="2916936"/>
                        </a:xfrm>
                        <a:prstGeom prst="rect">
                          <a:avLst/>
                        </a:prstGeom>
                        <a:solidFill>
                          <a:srgbClr val="FFFFFF"/>
                        </a:solidFill>
                        <a:ln w="9525">
                          <a:noFill/>
                          <a:miter lim="800000"/>
                          <a:headEnd/>
                          <a:tailEnd/>
                        </a:ln>
                      </wps:spPr>
                      <wps:txbx>
                        <w:txbxContent>
                          <w:p w:rsidR="00224CB7" w:rsidRPr="00DB554F" w:rsidP="00224CB7" w14:textId="77777777">
                            <w:pPr>
                              <w:pStyle w:val="Subtitle"/>
                              <w:rPr>
                                <w:rStyle w:val="SubtitleChar"/>
                                <w:lang w:val="en-GB"/>
                              </w:rPr>
                            </w:pPr>
                            <w:r w:rsidRPr="00DB554F">
                              <w:rPr>
                                <w:rStyle w:val="SubtitleChar"/>
                                <w:b/>
                                <w:lang w:val="en-GB"/>
                              </w:rPr>
                              <w:t>Dividend</w:t>
                            </w:r>
                          </w:p>
                          <w:p w:rsidR="00224CB7" w:rsidRPr="00DB554F" w:rsidP="00224CB7" w14:textId="77777777">
                            <w:pPr>
                              <w:spacing w:line="120" w:lineRule="auto"/>
                              <w:rPr>
                                <w:sz w:val="10"/>
                                <w:szCs w:val="10"/>
                                <w:lang w:val="en-GB"/>
                              </w:rPr>
                            </w:pPr>
                          </w:p>
                          <w:p w:rsidR="00224CB7" w:rsidP="00224CB7" w14:textId="17DBAD2C">
                            <w:pPr>
                              <w:spacing w:before="0" w:beforeAutospacing="0" w:after="0" w:afterAutospacing="0"/>
                              <w:rPr>
                                <w:rStyle w:val="Hyperlink"/>
                              </w:rPr>
                            </w:pPr>
                            <w:r w:rsidRPr="000D6EC7">
                              <w:rPr>
                                <w:lang w:val="en-GB"/>
                              </w:rPr>
                              <w:t xml:space="preserve"> </w:t>
                            </w:r>
                            <w:r>
                              <w:drawing>
                                <wp:inline>
                                  <wp:extent cx="3025688" cy="1980000"/>
                                  <wp:docPr id="9" name="Chart_Dividend_E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62CFB" w:rsidP="00614AB1" w14:textId="77777777">
                            <w:pPr>
                              <w:pStyle w:val="WChartText"/>
                              <w:spacing w:after="0"/>
                              <w:rPr>
                                <w:lang w:val="en-GB"/>
                              </w:rPr>
                            </w:pPr>
                          </w:p>
                          <w:p w:rsidR="00DB554F" w:rsidRPr="00DB554F" w:rsidP="00614AB1" w14:textId="77777777">
                            <w:pPr>
                              <w:pStyle w:val="WChartText"/>
                              <w:spacing w:after="0"/>
                              <w:rPr>
                                <w:lang w:val="en-GB"/>
                              </w:rPr>
                            </w:pPr>
                            <w:r w:rsidRPr="006779C0">
                              <w:rPr>
                                <w:lang w:val="en-GB"/>
                              </w:rPr>
                              <w:t xml:space="preserve">The free share issue approved by Wärtsilä Corporation’s Annual General Meeting on 8 March 2018 increased the total number of Wärtsilä shares to 591,723,390. </w:t>
                            </w:r>
                            <w:r w:rsidRPr="006779C0">
                              <w:rPr>
                                <w:lang w:val="en-GB"/>
                              </w:rPr>
                              <w:t>Figures for the comparison periods 201</w:t>
                            </w:r>
                            <w:r>
                              <w:rPr>
                                <w:lang w:val="en-GB"/>
                              </w:rPr>
                              <w:t>1</w:t>
                            </w:r>
                            <w:r w:rsidRPr="006779C0">
                              <w:rPr>
                                <w:lang w:val="en-GB"/>
                              </w:rPr>
                              <w:t>-2017 have been adjusted to reflect the increased number of shares.</w:t>
                            </w:r>
                          </w:p>
                        </w:txbxContent>
                      </wps:txbx>
                      <wps:bodyPr rot="0"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 id="Text Box 2" o:spid="_x0000_s1032" type="#_x0000_t202" style="width:244.08pt;height:229.68pt;margin-top:0;margin-left:0;mso-height-percent:0;mso-height-relative:margin;mso-width-percent:0;mso-width-relative:margin;mso-wrap-distance-bottom:3.6pt;mso-wrap-distance-left:9pt;mso-wrap-distance-right:9pt;mso-wrap-distance-top:3.6pt;position:absolute;v-text-anchor:top;z-index:251664384" fillcolor="white" stroked="f" strokeweight="0.75pt">
                <v:textbox inset="0,0,0,0">
                  <w:txbxContent>
                    <w:p w:rsidR="00224CB7" w:rsidRPr="00DB554F" w:rsidP="00224CB7" w14:textId="77777777">
                      <w:pPr>
                        <w:pStyle w:val="Subtitle"/>
                        <w:rPr>
                          <w:rStyle w:val="SubtitleChar"/>
                          <w:lang w:val="en-GB"/>
                        </w:rPr>
                      </w:pPr>
                      <w:r w:rsidRPr="00DB554F">
                        <w:rPr>
                          <w:rStyle w:val="SubtitleChar"/>
                          <w:b/>
                          <w:lang w:val="en-GB"/>
                        </w:rPr>
                        <w:t>Dividend</w:t>
                      </w:r>
                    </w:p>
                    <w:p w:rsidR="00224CB7" w:rsidRPr="00DB554F" w:rsidP="00224CB7" w14:textId="77777777">
                      <w:pPr>
                        <w:spacing w:line="120" w:lineRule="auto"/>
                        <w:rPr>
                          <w:sz w:val="10"/>
                          <w:szCs w:val="10"/>
                          <w:lang w:val="en-GB"/>
                        </w:rPr>
                      </w:pPr>
                    </w:p>
                    <w:p w:rsidR="00224CB7" w:rsidP="00224CB7" w14:textId="17DBAD2C">
                      <w:pPr>
                        <w:spacing w:before="0" w:beforeAutospacing="0" w:after="0" w:afterAutospacing="0"/>
                        <w:rPr>
                          <w:rStyle w:val="Hyperlink"/>
                        </w:rPr>
                      </w:pPr>
                      <w:r w:rsidRPr="000D6EC7">
                        <w:rPr>
                          <w:lang w:val="en-GB"/>
                        </w:rPr>
                        <w:t xml:space="preserve"> </w:t>
                      </w:r>
                      <w:drawing>
                        <wp:inline>
                          <wp:extent cx="3025688" cy="1980000"/>
                          <wp:docPr id="545433926" name="[PlaceholderChartForReportGeneration-477498cb-f19b-4a25-b897-001e8570d6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754139" name=""/>
                                  <pic:cNvPicPr>
                                    <a:picLocks noChangeAspect="1"/>
                                  </pic:cNvPicPr>
                                </pic:nvPicPr>
                                <pic:blipFill>
                                  <a:blip xmlns:r="http://schemas.openxmlformats.org/officeDocument/2006/relationships" r:embed="rId13"/>
                                  <a:stretch>
                                    <a:fillRect/>
                                  </a:stretch>
                                </pic:blipFill>
                                <pic:spPr>
                                  <a:xfrm>
                                    <a:off x="0" y="0"/>
                                    <a:ext cx="3025688" cy="1980000"/>
                                  </a:xfrm>
                                  <a:prstGeom prst="rect">
                                    <a:avLst/>
                                  </a:prstGeom>
                                </pic:spPr>
                              </pic:pic>
                            </a:graphicData>
                          </a:graphic>
                        </wp:inline>
                      </w:drawing>
                    </w:p>
                    <w:p w:rsidR="00862CFB" w:rsidP="00614AB1" w14:textId="77777777">
                      <w:pPr>
                        <w:pStyle w:val="WChartText"/>
                        <w:spacing w:after="0"/>
                        <w:rPr>
                          <w:lang w:val="en-GB"/>
                        </w:rPr>
                      </w:pPr>
                    </w:p>
                    <w:p w:rsidR="00DB554F" w:rsidRPr="00DB554F" w:rsidP="00614AB1" w14:textId="77777777">
                      <w:pPr>
                        <w:pStyle w:val="WChartText"/>
                        <w:spacing w:after="0"/>
                        <w:rPr>
                          <w:lang w:val="en-GB"/>
                        </w:rPr>
                      </w:pPr>
                      <w:r w:rsidRPr="006779C0">
                        <w:rPr>
                          <w:lang w:val="en-GB"/>
                        </w:rPr>
                        <w:t xml:space="preserve">The free share issue approved by Wärtsilä Corporation’s Annual General Meeting on 8 March 2018 increased the total number of Wärtsilä shares to 591,723,390. </w:t>
                      </w:r>
                      <w:r w:rsidRPr="006779C0">
                        <w:rPr>
                          <w:lang w:val="en-GB"/>
                        </w:rPr>
                        <w:t>Figures for the comparison periods 201</w:t>
                      </w:r>
                      <w:r>
                        <w:rPr>
                          <w:lang w:val="en-GB"/>
                        </w:rPr>
                        <w:t>1</w:t>
                      </w:r>
                      <w:r w:rsidRPr="006779C0">
                        <w:rPr>
                          <w:lang w:val="en-GB"/>
                        </w:rPr>
                        <w:t>-2017 have been adjusted to reflect the increased number of shares.</w:t>
                      </w:r>
                    </w:p>
                  </w:txbxContent>
                </v:textbox>
                <w10:wrap type="topAndBottom"/>
              </v:shape>
            </w:pict>
          </mc:Fallback>
        </mc:AlternateContent>
      </w:r>
      <w:bookmarkEnd w:id="39"/>
      <w:r>
        <w:t xml:space="preserve"> </w:t>
      </w:r>
    </w:p>
    <w:p w:rsidR="004C30D4" w:rsidRPr="00FA5DCE" w:rsidP="00EF34FD">
      <w:pPr>
        <w:pStyle w:val="WHeadingException2"/>
      </w:pPr>
      <w:bookmarkStart w:id="40" w:name="RG_MARKER_5041"/>
      <w:r>
        <w:t>Events after the review period</w:t>
      </w:r>
      <w:bookmarkEnd w:id="40"/>
    </w:p>
    <w:p w:rsidR="00B4426B" w:rsidRPr="002A6C34" w:rsidP="001F5819">
      <w:pPr>
        <w:pStyle w:val="Wnormal0"/>
      </w:pPr>
      <w:r w:rsidRPr="001F5819">
        <w:t>In January 2021, Wärtsilä announced the divestment of 100% of the shares in its Entertainment business, Wärtsilä Funa GmbH, to Videlio SA, a French public limited company. Wärtsilä Entertainment is engaged in the field of design, fabrication, engineering a</w:t>
      </w:r>
      <w:r w:rsidRPr="001F5819">
        <w:t>nd integration of entertainment systems, illumination, light control, cabin control, broadcast and digital audio distribution and announcement systems for cruise vessels and entertainment parks.</w:t>
      </w:r>
      <w:r w:rsidRPr="001F5819">
        <w:t xml:space="preserve"> </w:t>
      </w:r>
      <w:r w:rsidRPr="001F5819">
        <w:t>The company became part of Wärtsilä as a result of the acquisition of L-3 Communications MSI in 2015 and has 172 employees in five countries, with the majority being based in Emden, Germany. The annual revenues were approximately EUR 50 million in 2020.</w:t>
      </w:r>
    </w:p>
    <w:p w:rsidR="00397E7D" w:rsidP="003E7096" w14:textId="45D60A3F">
      <w:pPr>
        <w:pStyle w:val="WNormal"/>
        <w:spacing w:after="240" w:line="276" w:lineRule="auto"/>
        <w:rPr>
          <w:spacing w:val="2"/>
          <w:sz w:val="17"/>
          <w:szCs w:val="17"/>
          <w:lang w:val="en-GB"/>
        </w:rPr>
      </w:pPr>
      <w:bookmarkStart w:id="41" w:name="RG_MARKER_5418"/>
      <w:r>
        <w:rPr>
          <w:spacing w:val="2"/>
          <w:sz w:val="17"/>
          <w:szCs w:val="17"/>
          <w:lang w:val="en-GB"/>
        </w:rPr>
        <w:br w:type="column"/>
      </w:r>
      <w:bookmarkEnd w:id="41"/>
    </w:p>
    <w:p w:rsidR="0076174B" w:rsidRPr="00284DC3" w:rsidP="0076174B" w14:textId="77777777">
      <w:pPr>
        <w:pStyle w:val="WHeadingException3"/>
        <w:sectPr w:rsidSect="004B441D">
          <w:pgSz w:w="16838" w:h="11906" w:orient="landscape"/>
          <w:pgMar w:top="1814" w:right="737" w:bottom="1247" w:left="737" w:header="720" w:footer="720" w:gutter="0"/>
          <w:pgBorders w:zOrder="front" w:display="allPages" w:offsetFrom="text">
            <w:top w:val="nil"/>
            <w:left w:val="nil"/>
            <w:bottom w:val="nil"/>
            <w:right w:val="nil"/>
          </w:pgBorders>
          <w:cols w:num="3" w:sep="0" w:space="510" w:equalWidth="1"/>
          <w:vAlign w:val="top"/>
          <w:titlePg w:val="0"/>
          <w:rtlGutter w:val="0"/>
          <w:docGrid w:linePitch="360"/>
        </w:sectPr>
      </w:pPr>
      <w:r>
        <w:t xml:space="preserve"> </w:t>
      </w:r>
    </w:p>
    <w:p w:rsidR="00211F4A" w:rsidRPr="00211F4A" w:rsidP="00211F4A" w14:paraId="13896412" w14:textId="77777777">
      <w:pPr>
        <w:pStyle w:val="Heading10"/>
        <w:pageBreakBefore/>
      </w:pPr>
      <w:bookmarkStart w:id="42" w:name="RG_MARKER_4201"/>
      <w:r w:rsidRPr="00211F4A">
        <w:t>FIVE YEARS IN FIGURES</w:t>
      </w:r>
      <w:bookmarkEnd w:id="42"/>
    </w:p>
    <w:p w:rsidR="00211F4A" w:rsidRPr="00211F4A" w:rsidP="00211F4A" w14:paraId="1B90F0B6" w14:textId="77777777">
      <w:pPr>
        <w:pStyle w:val="Bodytext2"/>
      </w:pPr>
      <w:r w:rsidRPr="00211F4A">
        <w:t>Wärtsilä provides certain financial performance measures, which are accounting measures that are not defined by IFRS. These alternative performance measures, such as comparable operating result, comparable adjusted EBITA, cash flow from operating activitie</w:t>
      </w:r>
      <w:r w:rsidRPr="00211F4A">
        <w:t xml:space="preserve">s, and gearing, are followed and used by management to measure the Group's performance and financial position. In addition, </w:t>
      </w:r>
      <w:r w:rsidRPr="00211F4A">
        <w:t>Wärtsilä's</w:t>
      </w:r>
      <w:r w:rsidRPr="00211F4A">
        <w:t xml:space="preserve"> targets of financial performance are linked to for example comparable operating result and gearing. Thus, these alternati</w:t>
      </w:r>
      <w:r w:rsidRPr="00211F4A">
        <w:t>ve performance measures provide useful information to the capital markets.</w:t>
      </w:r>
    </w:p>
    <w:p w:rsidR="00211F4A" w:rsidRPr="00211F4A" w:rsidP="00211F4A" w14:paraId="226F4385" w14:textId="77777777">
      <w:pPr>
        <w:pStyle w:val="Bodytext2"/>
      </w:pPr>
    </w:p>
    <w:p w:rsidR="00211F4A" w:rsidRPr="00211F4A" w:rsidP="00211F4A" w14:paraId="217E1125" w14:textId="7BEAC26E">
      <w:pPr>
        <w:pStyle w:val="Bodytext2"/>
      </w:pPr>
      <w:r w:rsidRPr="00211F4A">
        <w:t>The alternative performance measures should not be evaluated in isolation from the corresponding IFRS measures. The alternative performance measure calculation definitions are disc</w:t>
      </w:r>
      <w:r w:rsidRPr="00211F4A">
        <w:t>losed in Calculations of financial ratios.</w:t>
      </w:r>
    </w:p>
    <w:p w:rsidR="00211F4A" w:rsidRPr="00211F4A" w:rsidP="00211F4A" w14:paraId="7C648B62" w14:textId="77777777">
      <w:pPr>
        <w:pStyle w:val="Bodytext2"/>
      </w:pPr>
    </w:p>
    <w:tbl>
      <w:tblPr>
        <w:tblStyle w:val="TableNormal"/>
        <w:tblCaption w:val="Table_five_years_in_figures"/>
        <w:tblW w:w="7275" w:type="dxa"/>
        <w:tblLayout w:type="fixed"/>
        <w:tblLook w:val="0600"/>
      </w:tblPr>
      <w:tblGrid>
        <w:gridCol w:w="3225"/>
        <w:gridCol w:w="375"/>
        <w:gridCol w:w="735"/>
        <w:gridCol w:w="735"/>
        <w:gridCol w:w="735"/>
        <w:gridCol w:w="735"/>
        <w:gridCol w:w="735"/>
      </w:tblGrid>
      <w:tr>
        <w:tblPrEx>
          <w:tblW w:w="7275" w:type="dxa"/>
          <w:tblLayout w:type="fixed"/>
          <w:tblLook w:val="0600"/>
        </w:tblPrEx>
        <w:trPr>
          <w:trHeight w:hRule="exact" w:val="240"/>
        </w:trPr>
        <w:tc>
          <w:tcPr>
            <w:tcW w:w="3225" w:type="dxa"/>
            <w:tcBorders>
              <w:top w:val="nil"/>
              <w:left w:val="nil"/>
              <w:bottom w:val="nil"/>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75" w:type="dxa"/>
            <w:tcBorders>
              <w:top w:val="nil"/>
              <w:left w:val="nil"/>
              <w:bottom w:val="nil"/>
              <w:right w:val="nil"/>
              <w:tl2br w:val="nil"/>
              <w:tr2bl w:val="nil"/>
            </w:tcBorders>
            <w:shd w:val="clear" w:color="auto" w:fill="auto"/>
            <w:noWrap/>
            <w:tcMar>
              <w:left w:w="0" w:type="dxa"/>
              <w:right w:w="0" w:type="dxa"/>
            </w:tcMar>
            <w:textDirection w:val="lrTb"/>
            <w:tcFitText w:val="0"/>
            <w:vAlign w:val="top"/>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35" w:type="dxa"/>
            <w:tcBorders>
              <w:top w:val="nil"/>
              <w:left w:val="nil"/>
              <w:bottom w:val="nil"/>
              <w:right w:val="nil"/>
              <w:tl2br w:val="nil"/>
              <w:tr2bl w:val="nil"/>
            </w:tcBorders>
            <w:shd w:val="clear" w:color="auto" w:fill="auto"/>
            <w:noWrap/>
            <w:tcMar>
              <w:left w:w="0" w:type="dxa"/>
              <w:right w:w="0" w:type="dxa"/>
            </w:tcMar>
            <w:textDirection w:val="lrTb"/>
            <w:tcFitText w:val="0"/>
            <w:vAlign w:val="top"/>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35" w:type="dxa"/>
            <w:tcBorders>
              <w:top w:val="nil"/>
              <w:left w:val="nil"/>
              <w:bottom w:val="nil"/>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nil"/>
              <w:left w:val="nil"/>
              <w:bottom w:val="nil"/>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nil"/>
              <w:left w:val="nil"/>
              <w:bottom w:val="nil"/>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Restated</w:t>
            </w:r>
          </w:p>
        </w:tc>
        <w:tc>
          <w:tcPr>
            <w:tcW w:w="735" w:type="dxa"/>
            <w:tcBorders>
              <w:top w:val="nil"/>
              <w:left w:val="nil"/>
              <w:bottom w:val="nil"/>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375" w:type="dxa"/>
            <w:tcBorders>
              <w:top w:val="nil"/>
              <w:left w:val="nil"/>
              <w:bottom w:val="single" w:sz="8" w:space="0" w:color="0F172B"/>
              <w:right w:val="nil"/>
              <w:tl2br w:val="nil"/>
              <w:tr2bl w:val="nil"/>
            </w:tcBorders>
            <w:shd w:val="clear" w:color="auto" w:fill="auto"/>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3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735"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735"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2018</w:t>
            </w:r>
          </w:p>
        </w:tc>
        <w:tc>
          <w:tcPr>
            <w:tcW w:w="735"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2017*</w:t>
            </w:r>
          </w:p>
        </w:tc>
        <w:tc>
          <w:tcPr>
            <w:tcW w:w="735"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8" w:space="0" w:color="0F172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Net sales</w:t>
            </w:r>
          </w:p>
        </w:tc>
        <w:tc>
          <w:tcPr>
            <w:tcW w:w="37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4,604</w:t>
            </w:r>
          </w:p>
        </w:tc>
        <w:tc>
          <w:tcPr>
            <w:tcW w:w="73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5,170</w:t>
            </w:r>
          </w:p>
        </w:tc>
        <w:tc>
          <w:tcPr>
            <w:tcW w:w="73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5,174</w:t>
            </w:r>
          </w:p>
        </w:tc>
        <w:tc>
          <w:tcPr>
            <w:tcW w:w="73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4,911</w:t>
            </w:r>
          </w:p>
        </w:tc>
        <w:tc>
          <w:tcPr>
            <w:tcW w:w="73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4,801</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of which outside Finland</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97.9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98.5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98.9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97.5</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Exports from Finland</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1,702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1,933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2,145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1,953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1,804</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Personnel on average</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18,307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19,110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18,899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17,866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18,332</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of which in Finland</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3,706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3,868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3,766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3,521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3,482</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Order book</w:t>
            </w:r>
          </w:p>
        </w:tc>
        <w:tc>
          <w:tcPr>
            <w:tcW w:w="375"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5,057</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5,878</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6,166</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5,100</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4,696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8" w:space="0" w:color="0F172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From the consolidated statement of income</w:t>
            </w:r>
          </w:p>
        </w:tc>
        <w:tc>
          <w:tcPr>
            <w:tcW w:w="375" w:type="dxa"/>
            <w:tcBorders>
              <w:top w:val="single" w:sz="8" w:space="0" w:color="0F172B"/>
              <w:left w:val="nil"/>
              <w:bottom w:val="single" w:sz="4" w:space="0" w:color="004A6B"/>
              <w:right w:val="nil"/>
              <w:tl2br w:val="nil"/>
              <w:tr2bl w:val="nil"/>
            </w:tcBorders>
            <w:shd w:val="clear" w:color="auto" w:fill="auto"/>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amortisation and impairment</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138</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of result of associates and joint ventures</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Comparable operating result</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577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576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583</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12.1</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Operating result</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543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538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532</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11.1</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Comparable adjusted EBITA</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618</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12.9</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Financial income and expenses</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-53</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nil"/>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before taxes</w:t>
            </w:r>
          </w:p>
        </w:tc>
        <w:tc>
          <w:tcPr>
            <w:tcW w:w="375" w:type="dxa"/>
            <w:tcBorders>
              <w:top w:val="nil"/>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191</w:t>
            </w:r>
          </w:p>
        </w:tc>
        <w:tc>
          <w:tcPr>
            <w:tcW w:w="735" w:type="dxa"/>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315</w:t>
            </w:r>
          </w:p>
        </w:tc>
        <w:tc>
          <w:tcPr>
            <w:tcW w:w="735" w:type="dxa"/>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502</w:t>
            </w:r>
          </w:p>
        </w:tc>
        <w:tc>
          <w:tcPr>
            <w:tcW w:w="735" w:type="dxa"/>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491</w:t>
            </w:r>
          </w:p>
        </w:tc>
        <w:tc>
          <w:tcPr>
            <w:tcW w:w="735" w:type="dxa"/>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479</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for the financial period</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357</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8" w:space="0" w:color="0F172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37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4.2</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7.5</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7.6</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8" w:space="0" w:color="0F172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From the consolidated statement of financial position</w:t>
            </w:r>
          </w:p>
        </w:tc>
        <w:tc>
          <w:tcPr>
            <w:tcW w:w="37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Non-current assets</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2,427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2,518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2,369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2,285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2,116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 assets</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3,706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3,797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3,690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3,363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3,275</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Assets held for sale</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Total equity attributable to equity holders of the parent company</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2,177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2,396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2,418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2,352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2,288</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Non-controlling interests</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1,327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1,096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823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629</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Non-interest-bearing liabilities</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2,648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2,824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2,804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2,653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2,441</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Liabilities directly attributable to assets held for sale</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Total equity and liabilities</w:t>
            </w:r>
          </w:p>
        </w:tc>
        <w:tc>
          <w:tcPr>
            <w:tcW w:w="375"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6,232</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6,398</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6,059</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5,648</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5,391</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8" w:space="0" w:color="0F172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From the consolidated statement of cash flows</w:t>
            </w:r>
          </w:p>
        </w:tc>
        <w:tc>
          <w:tcPr>
            <w:tcW w:w="37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from operating activities</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681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430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613</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from investing activities</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from financing activities</w:t>
            </w:r>
          </w:p>
        </w:tc>
        <w:tc>
          <w:tcPr>
            <w:tcW w:w="375"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-44</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-256</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-118</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-278</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-339</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8" w:space="0" w:color="0F172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Gross capital expenditure</w:t>
            </w:r>
          </w:p>
        </w:tc>
        <w:tc>
          <w:tcPr>
            <w:tcW w:w="37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117</w:t>
            </w:r>
          </w:p>
        </w:tc>
        <w:tc>
          <w:tcPr>
            <w:tcW w:w="73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122</w:t>
            </w:r>
          </w:p>
        </w:tc>
        <w:tc>
          <w:tcPr>
            <w:tcW w:w="73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306</w:t>
            </w:r>
          </w:p>
        </w:tc>
        <w:tc>
          <w:tcPr>
            <w:tcW w:w="73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255</w:t>
            </w:r>
          </w:p>
        </w:tc>
        <w:tc>
          <w:tcPr>
            <w:tcW w:w="73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Research and development expenditure</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131</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225"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Dividends paid</w:t>
            </w:r>
          </w:p>
        </w:tc>
        <w:tc>
          <w:tcPr>
            <w:tcW w:w="375"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118**</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284</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284</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272</w:t>
            </w:r>
          </w:p>
        </w:tc>
        <w:tc>
          <w:tcPr>
            <w:tcW w:w="73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8" w:space="0" w:color="0F172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Financial ratios</w:t>
            </w:r>
          </w:p>
        </w:tc>
        <w:tc>
          <w:tcPr>
            <w:tcW w:w="37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3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Earnings per share (EPS), basic and diluted***</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0.23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0.37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0.65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0.63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0.60</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 per share***</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0.20**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0.48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0.48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0.46</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0.43</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 per earnings</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88.2**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73.7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70.8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72.8</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coverage</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Return on investment (ROI)</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17.1</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Return on equity (ROE)</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Solvency ratio</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44.4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46.3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Gearing</w:t>
            </w:r>
          </w:p>
        </w:tc>
        <w:tc>
          <w:tcPr>
            <w:tcW w:w="3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0.18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0.30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0.14</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0.10</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0.07</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Equity per share***</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3.68</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4.05</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4.09</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3.87</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2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Working capital (WCAP)</w:t>
            </w:r>
          </w:p>
        </w:tc>
        <w:tc>
          <w:tcPr>
            <w:tcW w:w="37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w:t>
            </w:r>
          </w:p>
        </w:tc>
        <w:tc>
          <w:tcPr>
            <w:tcW w:w="73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257</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732</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581</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563</w:t>
            </w:r>
          </w:p>
        </w:tc>
        <w:tc>
          <w:tcPr>
            <w:tcW w:w="73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490</w:t>
            </w:r>
          </w:p>
        </w:tc>
      </w:tr>
    </w:tbl>
    <w:p w:rsidR="00211F4A" w:rsidP="00211F4A" w14:paraId="2B34819E" w14:textId="0197B139">
      <w:pPr>
        <w:pStyle w:val="Bodytext2"/>
      </w:pPr>
    </w:p>
    <w:p w:rsidR="00237247" w:rsidP="00211F4A" w14:paraId="337679A7" w14:textId="429172B8">
      <w:pPr>
        <w:pStyle w:val="Bodytext2"/>
      </w:pPr>
      <w:r>
        <w:t>The financial ratios include assets and liabilities pertaining to assets held for sale.</w:t>
      </w:r>
    </w:p>
    <w:p w:rsidR="00211F4A" w:rsidRPr="00211F4A" w:rsidP="00211F4A" w14:paraId="185D4419" w14:textId="77777777">
      <w:pPr>
        <w:pStyle w:val="Bodytext2"/>
      </w:pPr>
      <w:r w:rsidRPr="00211F4A">
        <w:t>* Figures in the comparison period 2017 have been restated due to the adoption of IFRS 15.</w:t>
      </w:r>
    </w:p>
    <w:p w:rsidR="00211F4A" w:rsidRPr="00211F4A" w:rsidP="00211F4A" w14:paraId="4D0A2150" w14:textId="77777777">
      <w:pPr>
        <w:pStyle w:val="Bodytext2"/>
      </w:pPr>
      <w:r w:rsidRPr="00211F4A">
        <w:t>** Proposal of the Board of Directors.</w:t>
      </w:r>
    </w:p>
    <w:p w:rsidR="00211F4A" w:rsidRPr="00211F4A" w:rsidP="00211F4A" w14:paraId="39B471CE" w14:textId="12953825">
      <w:pPr>
        <w:pStyle w:val="Bodytext2"/>
        <w:sectPr w:rsidSect="007D3C8A">
          <w:headerReference w:type="even" r:id="rId22"/>
          <w:headerReference w:type="default" r:id="rId23"/>
          <w:footerReference w:type="even" r:id="rId24"/>
          <w:footerReference w:type="default" r:id="rId25"/>
          <w:headerReference w:type="first" r:id="rId26"/>
          <w:footerReference w:type="first" r:id="rId27"/>
          <w:type w:val="continuous"/>
          <w:pgSz w:w="16838" w:h="11906" w:orient="landscape"/>
          <w:pgMar w:top="1814" w:right="737" w:bottom="1247" w:left="737" w:header="720" w:footer="720" w:gutter="0"/>
          <w:pgBorders w:zOrder="front" w:display="allPages" w:offsetFrom="text">
            <w:top w:val="nil"/>
            <w:left w:val="nil"/>
            <w:bottom w:val="nil"/>
            <w:right w:val="nil"/>
          </w:pgBorders>
          <w:cols w:num="2" w:space="624"/>
          <w:vAlign w:val="top"/>
          <w:titlePg w:val="0"/>
          <w:rtlGutter w:val="0"/>
          <w:docGrid w:linePitch="360"/>
        </w:sectPr>
      </w:pPr>
      <w:r w:rsidRPr="00211F4A">
        <w:t xml:space="preserve">*** Share issue without payment (share split) approved by Wärtsilä Corporation’s Annual General Meeting on 8 March 2018 increased the total number of Wärtsilä shares to 591,723,390. Figures in the comparison periods </w:t>
      </w:r>
      <w:r w:rsidRPr="00211F4A">
        <w:t>have been restated accordingly.</w:t>
      </w:r>
      <w:r w:rsidRPr="00211F4A">
        <w:br w:type="column"/>
      </w:r>
    </w:p>
    <w:p/>
    <w:p w:rsidR="00575998" w:rsidP="00575998" w14:paraId="0B4F31B2" w14:textId="77777777">
      <w:pPr>
        <w:pStyle w:val="Heading10"/>
      </w:pPr>
      <w:bookmarkStart w:id="48" w:name="RG_MARKER_4202"/>
      <w:r>
        <w:t>QUARTERLY FIGURES</w:t>
      </w:r>
      <w:bookmarkEnd w:id="48"/>
    </w:p>
    <w:tbl>
      <w:tblPr>
        <w:tblStyle w:val="TableNormal"/>
        <w:tblCaption w:val="Table_quarterly_figures"/>
        <w:tblW w:w="15405" w:type="dxa"/>
        <w:tblLayout w:type="fixed"/>
        <w:tblLook w:val="0600"/>
      </w:tblPr>
      <w:tblGrid>
        <w:gridCol w:w="5280"/>
        <w:gridCol w:w="1125"/>
        <w:gridCol w:w="1125"/>
        <w:gridCol w:w="1125"/>
        <w:gridCol w:w="1125"/>
        <w:gridCol w:w="1125"/>
        <w:gridCol w:w="1125"/>
        <w:gridCol w:w="1125"/>
        <w:gridCol w:w="1125"/>
        <w:gridCol w:w="1125"/>
      </w:tblGrid>
      <w:tr>
        <w:tblPrEx>
          <w:tblW w:w="15405" w:type="dxa"/>
          <w:tblLayout w:type="fixed"/>
          <w:tblLook w:val="0600"/>
        </w:tblPrEx>
        <w:trPr>
          <w:trHeight w:hRule="exact" w:val="240"/>
        </w:trPr>
        <w:tc>
          <w:tcPr>
            <w:tcW w:w="52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12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10–12/2020</w:t>
            </w:r>
          </w:p>
        </w:tc>
        <w:tc>
          <w:tcPr>
            <w:tcW w:w="112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7–9/2020</w:t>
            </w:r>
          </w:p>
        </w:tc>
        <w:tc>
          <w:tcPr>
            <w:tcW w:w="112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4–6/2020</w:t>
            </w:r>
          </w:p>
        </w:tc>
        <w:tc>
          <w:tcPr>
            <w:tcW w:w="112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1–3/2020</w:t>
            </w:r>
          </w:p>
        </w:tc>
        <w:tc>
          <w:tcPr>
            <w:tcW w:w="11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10–12/2019</w:t>
            </w:r>
          </w:p>
        </w:tc>
        <w:tc>
          <w:tcPr>
            <w:tcW w:w="11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7–9/2019</w:t>
            </w:r>
          </w:p>
        </w:tc>
        <w:tc>
          <w:tcPr>
            <w:tcW w:w="11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4–6/2019</w:t>
            </w:r>
          </w:p>
        </w:tc>
        <w:tc>
          <w:tcPr>
            <w:tcW w:w="11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1–3/2019</w:t>
            </w:r>
          </w:p>
        </w:tc>
        <w:tc>
          <w:tcPr>
            <w:tcW w:w="11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10–12/2018</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Order intake</w:t>
            </w:r>
          </w:p>
        </w:tc>
        <w:tc>
          <w:tcPr>
            <w:tcW w:w="112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440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449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632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509</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258</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56</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76</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Marine Business*</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1,031</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475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435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843</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57</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83</w:t>
            </w:r>
          </w:p>
        </w:tc>
        <w:tc>
          <w:tcPr>
            <w:tcW w:w="112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1,118</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981</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1,011</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1,247</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1,555</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979</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1,377</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1,416</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1,874</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Order book at the end of the financial period**</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1,839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1,908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1,913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1,967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2,019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1,981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1,976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1,800</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857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872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1,051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1,232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1,377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1,471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1,516</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257</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Marine Business*</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3,651</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1,830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1,865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1,939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2,087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2,014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2,120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2,043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2,515</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257</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331</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341</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336</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338</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336</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338</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361</w:t>
            </w:r>
          </w:p>
        </w:tc>
        <w:tc>
          <w:tcPr>
            <w:tcW w:w="112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5,057</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5,265</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5,401</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5,745</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5,878</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5,982</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6,157</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5,977</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6,166</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2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sales</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603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430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447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443</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192</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56</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Marine Business*</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831</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648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701</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59</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71</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60</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w:t>
            </w:r>
          </w:p>
        </w:tc>
        <w:tc>
          <w:tcPr>
            <w:tcW w:w="112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28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1,220</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995</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1,220</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1,170</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1,684</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1,118</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1,217</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1,151</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1,532</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2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of result of associates and joint ventures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Comparable adjusted EBITA</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237</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15.4</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2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amortisation and impairment</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Purchase price allocation amortisation</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2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Comparable operating result</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226</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14.7</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Items affecting comparability, total</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Operating result</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206</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13.4</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Financial income and expenses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before taxes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153</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194</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taxes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for the financial period</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153</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Earnings per share (EPS), basic and diluted, EUR</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0.10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0.04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0.04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0.05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0.17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-0.01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0.11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0.10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0.25</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Gross capital expenditure</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Investments in securities and acquisitions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from operating activities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349</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2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Working capital (WCAP) at the end of the financial period</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660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732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870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784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581</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Personnel at the end of the financial period***</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8,355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8,412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8,674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8,934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8,820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8,962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9,005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8,881</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1,897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1,891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1,846</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1,862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1,870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1,828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1,887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1,882</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1,915</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1,946</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1,917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1,939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1,889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1,875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1,849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1,852</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Marine Business*</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13,582</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4,888</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4,837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4,799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4,819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5,137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5,295</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5,449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5,513</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5,712</w:t>
            </w: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737</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1,097</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1,098</w:t>
            </w:r>
          </w:p>
        </w:tc>
        <w:tc>
          <w:tcPr>
            <w:tcW w:w="112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1,088</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1,080</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1,058</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1,050</w:t>
            </w:r>
          </w:p>
        </w:tc>
        <w:tc>
          <w:tcPr>
            <w:tcW w:w="1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1,096</w:t>
            </w:r>
          </w:p>
        </w:tc>
        <w:tc>
          <w:tcPr>
            <w:tcW w:w="112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2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17,792</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18,183</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18,334</w:t>
            </w:r>
          </w:p>
        </w:tc>
        <w:tc>
          <w:tcPr>
            <w:tcW w:w="112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18,642</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18,795</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19,018</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19,239</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19,225</w:t>
            </w:r>
          </w:p>
        </w:tc>
        <w:tc>
          <w:tcPr>
            <w:tcW w:w="1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19,294</w:t>
            </w:r>
          </w:p>
        </w:tc>
      </w:tr>
    </w:tbl>
    <w:p w:rsidR="00575998" w:rsidRPr="00575998" w:rsidP="00575998" w14:paraId="1C3871AC" w14:textId="77777777">
      <w:pPr>
        <w:pStyle w:val="Bodytext2"/>
      </w:pPr>
    </w:p>
    <w:p w:rsidR="00575998" w:rsidRPr="00575998" w:rsidP="00575998" w14:paraId="3C6D9BDE" w14:textId="77777777">
      <w:pPr>
        <w:pStyle w:val="Bodytext2"/>
      </w:pPr>
      <w:r w:rsidRPr="00575998">
        <w:t xml:space="preserve">* The segment related comparison figures for 2018 have been restated to reflect the </w:t>
      </w:r>
      <w:r w:rsidRPr="00575998">
        <w:t>organisational</w:t>
      </w:r>
      <w:r w:rsidRPr="00575998">
        <w:t xml:space="preserve"> structure, which was in place during 2019. The segment related comparison figures for 2019 and 1-3/2020 have been restated to reflect the new </w:t>
      </w:r>
      <w:r w:rsidRPr="00575998">
        <w:t>organisational</w:t>
      </w:r>
      <w:r w:rsidRPr="00575998">
        <w:t xml:space="preserve"> structure effective as of 1 July 2020.</w:t>
      </w:r>
    </w:p>
    <w:p w:rsidR="00575998" w:rsidRPr="00575998" w:rsidP="00575998" w14:paraId="540158F5" w14:textId="298F340A">
      <w:pPr>
        <w:pStyle w:val="Bodytext2"/>
      </w:pPr>
      <w:r w:rsidRPr="00575998">
        <w:t xml:space="preserve">** During 2019, Wärtsilä implemented stricter requirements </w:t>
      </w:r>
      <w:r w:rsidRPr="00575998">
        <w:t xml:space="preserve">for the booking of new orders, which resulted in certain projects being removed from the Energy </w:t>
      </w:r>
      <w:r>
        <w:t>b</w:t>
      </w:r>
      <w:r w:rsidRPr="00575998">
        <w:t>usiness’ order book. The order book for the first three quarters of 2019 has been adjusted to reflect this change.</w:t>
      </w:r>
    </w:p>
    <w:p w:rsidR="000556E1" w:rsidP="000556E1" w14:paraId="603C653C" w14:textId="77777777">
      <w:pPr>
        <w:pStyle w:val="Bodytext2"/>
        <w:sectPr w:rsidSect="00E05F0E">
          <w:headerReference w:type="even" r:id="rId28"/>
          <w:headerReference w:type="default" r:id="rId29"/>
          <w:footerReference w:type="even" r:id="rId30"/>
          <w:footerReference w:type="default" r:id="rId31"/>
          <w:headerReference w:type="first" r:id="rId32"/>
          <w:footerReference w:type="first" r:id="rId33"/>
          <w:type w:val="continuous"/>
          <w:pgSz w:w="16838" w:h="11906" w:orient="landscape"/>
          <w:pgMar w:top="1814" w:right="737" w:bottom="1247" w:left="737" w:header="720" w:footer="720" w:gutter="0"/>
          <w:pgBorders w:zOrder="front" w:display="allPages" w:offsetFrom="text">
            <w:top w:val="nil"/>
            <w:left w:val="nil"/>
            <w:bottom w:val="nil"/>
            <w:right w:val="nil"/>
          </w:pgBorders>
          <w:cols w:space="720"/>
          <w:vAlign w:val="top"/>
          <w:titlePg w:val="0"/>
          <w:rtlGutter w:val="0"/>
          <w:docGrid w:linePitch="360"/>
        </w:sectPr>
      </w:pPr>
      <w:r w:rsidRPr="00575998">
        <w:t>*** Comparison figures have been adjusted to</w:t>
      </w:r>
      <w:r w:rsidRPr="00575998">
        <w:t xml:space="preserve"> reflect the business unit composition of the Portfolio Business and a change in allocation principles.</w:t>
      </w:r>
    </w:p>
    <w:p w:rsidR="00B14CC9" w:rsidRPr="00575998" w:rsidP="000556E1" w14:paraId="0122DCAE" w14:textId="5187C278">
      <w:pPr>
        <w:pStyle w:val="Bodytext2"/>
        <w:rPr>
          <w:lang w:val="en-GB"/>
        </w:rPr>
        <w:sectPr w:rsidSect="000556E1">
          <w:type w:val="continuous"/>
          <w:pgSz w:w="16838" w:h="11906" w:orient="landscape"/>
          <w:pgMar w:top="1814" w:right="737" w:bottom="1247" w:left="737" w:header="720" w:footer="720" w:gutter="0"/>
          <w:pgBorders w:zOrder="front" w:display="allPages" w:offsetFrom="text">
            <w:top w:val="nil"/>
            <w:left w:val="nil"/>
            <w:bottom w:val="nil"/>
            <w:right w:val="nil"/>
          </w:pgBorders>
          <w:cols w:space="720"/>
          <w:vAlign w:val="top"/>
          <w:titlePg w:val="0"/>
          <w:rtlGutter w:val="0"/>
          <w:docGrid w:linePitch="360"/>
        </w:sectPr>
      </w:pPr>
      <w:r>
        <w:t xml:space="preserve"> </w:t>
      </w:r>
    </w:p>
    <w:p/>
    <w:p w:rsidR="00022155" w:rsidP="00022155" w14:paraId="242C4156" w14:textId="77777777">
      <w:pPr>
        <w:pStyle w:val="Heading10"/>
      </w:pPr>
      <w:bookmarkStart w:id="53" w:name="_Hlk42850006_0"/>
      <w:bookmarkStart w:id="54" w:name="RG_MARKER_4203"/>
      <w:r>
        <w:t>CALCULATIONS OF FINANCIAL RATIOS</w:t>
      </w:r>
      <w:bookmarkEnd w:id="54"/>
    </w:p>
    <w:p w:rsidR="00022155" w:rsidP="00022155" w14:paraId="52F7FA0E" w14:textId="77777777">
      <w:pPr>
        <w:pStyle w:val="Heading13"/>
      </w:pPr>
      <w:bookmarkEnd w:id="53"/>
      <w:r>
        <w:t>Operating result</w:t>
      </w:r>
    </w:p>
    <w:p w:rsidR="00022155" w:rsidP="00022155" w14:paraId="0E40D796" w14:textId="77777777">
      <w:pPr>
        <w:pStyle w:val="Bodytext2"/>
      </w:pPr>
      <w:r>
        <w:t>Net sales + other operating income – expenses – depreciation, amortisation</w:t>
      </w:r>
      <w:r>
        <w:t xml:space="preserve"> and impairment +/– share of result of associates and joint ventures</w:t>
      </w:r>
    </w:p>
    <w:p w:rsidR="00022155" w:rsidP="00022155" w14:paraId="689B4991" w14:textId="77777777">
      <w:pPr>
        <w:pStyle w:val="Bodytext2"/>
      </w:pPr>
    </w:p>
    <w:p w:rsidR="00022155" w:rsidP="00022155" w14:paraId="286222BC" w14:textId="77777777">
      <w:pPr>
        <w:pStyle w:val="Heading13"/>
      </w:pPr>
      <w:r>
        <w:t>Earnings per share (EPS), basic and diluted</w:t>
      </w:r>
    </w:p>
    <w:tbl>
      <w:tblPr>
        <w:tblStyle w:val="TableGrid0"/>
        <w:tblW w:w="0" w:type="auto"/>
        <w:tblInd w:w="5" w:type="dxa"/>
        <w:tblLook w:val="04A0"/>
      </w:tblPr>
      <w:tblGrid>
        <w:gridCol w:w="7345"/>
        <w:gridCol w:w="20"/>
      </w:tblGrid>
      <w:tr w14:paraId="117D641F" w14:textId="77777777" w:rsidTr="00022155">
        <w:tblPrEx>
          <w:tblW w:w="0" w:type="auto"/>
          <w:tblInd w:w="5" w:type="dxa"/>
          <w:tblLook w:val="04A0"/>
        </w:tblPrEx>
        <w:tc>
          <w:tcPr>
            <w:tcW w:w="7361" w:type="dxa"/>
            <w:tcBorders>
              <w:top w:val="nil"/>
              <w:left w:val="nil"/>
              <w:bottom w:val="single" w:sz="4" w:space="0" w:color="auto"/>
              <w:right w:val="nil"/>
            </w:tcBorders>
            <w:hideMark/>
          </w:tcPr>
          <w:p w:rsidR="00022155" w:rsidRPr="007C7DD5" w:rsidP="00022155" w14:paraId="57DB3EB7" w14:textId="79776440">
            <w:pPr>
              <w:pStyle w:val="Bodytext2"/>
              <w:rPr>
                <w:lang w:val="en-GB"/>
              </w:rPr>
            </w:pPr>
            <w:r w:rsidRPr="007C7DD5">
              <w:rPr>
                <w:lang w:val="en-GB"/>
              </w:rPr>
              <w:t>Profit for the financial period attributable to equity holders of the parent</w:t>
            </w:r>
            <w:r>
              <w:rPr>
                <w:lang w:val="en-GB"/>
              </w:rPr>
              <w:t xml:space="preserve"> company</w:t>
            </w:r>
          </w:p>
        </w:tc>
        <w:tc>
          <w:tcPr>
            <w:tcW w:w="20" w:type="dxa"/>
            <w:vMerge w:val="restart"/>
            <w:vAlign w:val="center"/>
          </w:tcPr>
          <w:p w:rsidR="00022155" w:rsidRPr="007C7DD5" w:rsidP="00022155" w14:paraId="1101EA12" w14:textId="77777777">
            <w:pPr>
              <w:pStyle w:val="Bodytext2"/>
              <w:rPr>
                <w:lang w:val="en-GB"/>
              </w:rPr>
            </w:pPr>
          </w:p>
        </w:tc>
      </w:tr>
      <w:tr w14:paraId="66AF1922" w14:textId="77777777" w:rsidTr="00022155">
        <w:tblPrEx>
          <w:tblW w:w="0" w:type="auto"/>
          <w:tblInd w:w="5" w:type="dxa"/>
          <w:tblLook w:val="04A0"/>
        </w:tblPrEx>
        <w:tc>
          <w:tcPr>
            <w:tcW w:w="7361" w:type="dxa"/>
            <w:tcBorders>
              <w:top w:val="single" w:sz="4" w:space="0" w:color="auto"/>
              <w:left w:val="nil"/>
              <w:bottom w:val="nil"/>
              <w:right w:val="nil"/>
            </w:tcBorders>
            <w:hideMark/>
          </w:tcPr>
          <w:p w:rsidR="00022155" w:rsidRPr="007C7DD5" w:rsidP="00022155" w14:paraId="1276B9DA" w14:textId="77777777">
            <w:pPr>
              <w:pStyle w:val="Bodytext2"/>
              <w:rPr>
                <w:lang w:val="en-GB"/>
              </w:rPr>
            </w:pPr>
            <w:r w:rsidRPr="007C7DD5">
              <w:rPr>
                <w:lang w:val="en-GB"/>
              </w:rPr>
              <w:t>Adjusted number of shares, average over the financial p</w:t>
            </w:r>
            <w:r w:rsidRPr="007C7DD5">
              <w:rPr>
                <w:lang w:val="en-GB"/>
              </w:rPr>
              <w:t>eriod</w:t>
            </w:r>
          </w:p>
        </w:tc>
        <w:tc>
          <w:tcPr>
            <w:tcW w:w="0" w:type="auto"/>
            <w:vMerge/>
            <w:vAlign w:val="center"/>
            <w:hideMark/>
          </w:tcPr>
          <w:p w:rsidR="00022155" w:rsidRPr="007C7DD5" w:rsidP="00022155" w14:paraId="6FC4A9B3" w14:textId="77777777">
            <w:pPr>
              <w:pStyle w:val="Bodytext2"/>
              <w:rPr>
                <w:lang w:val="en-GB"/>
              </w:rPr>
            </w:pPr>
          </w:p>
        </w:tc>
      </w:tr>
    </w:tbl>
    <w:p w:rsidR="00022155" w:rsidRPr="00974ADA" w:rsidP="00974ADA" w14:paraId="666416C6" w14:textId="77777777">
      <w:pPr>
        <w:pStyle w:val="Bodytext2"/>
      </w:pPr>
    </w:p>
    <w:p w:rsidR="00022155" w:rsidP="00022155" w14:paraId="28CA9993" w14:textId="77777777">
      <w:pPr>
        <w:pStyle w:val="Heading13"/>
      </w:pPr>
      <w:r>
        <w:t>Items affecting comparability</w:t>
      </w:r>
    </w:p>
    <w:p w:rsidR="00022155" w:rsidP="00022155" w14:paraId="7F72689A" w14:textId="77777777">
      <w:pPr>
        <w:pStyle w:val="Bodytext2"/>
      </w:pPr>
      <w:r>
        <w:t xml:space="preserve">Certain income and expenses are presented as items affecting comparability when they have significant impact on the consolidated statement of income. Items affecting comparability consist of income and </w:t>
      </w:r>
      <w:r>
        <w:t>expenses, which result from restructuring activities aiming to adjust the capacity of Wärtsilä’s operations. They may also include other income and expenses incurred outside Wärtsilä’s normal course of business, such as impairment charges, acquisition rela</w:t>
      </w:r>
      <w:r>
        <w:t>ted costs, settlements recorded as a result of legal proceedings with third parties or unforeseen obligations from earlier discontinued businesses.</w:t>
      </w:r>
    </w:p>
    <w:p w:rsidR="00022155" w:rsidP="00022155" w14:paraId="6323D1BB" w14:textId="77777777">
      <w:pPr>
        <w:pStyle w:val="Bodytext2"/>
      </w:pPr>
    </w:p>
    <w:p w:rsidR="00022155" w:rsidP="00022155" w14:paraId="7031E173" w14:textId="77777777">
      <w:pPr>
        <w:pStyle w:val="Heading13"/>
      </w:pPr>
      <w:r>
        <w:t>Comparable operating result</w:t>
      </w:r>
    </w:p>
    <w:p w:rsidR="00022155" w:rsidP="00022155" w14:paraId="44A2F5E8" w14:textId="77777777">
      <w:pPr>
        <w:pStyle w:val="Bodytext2"/>
      </w:pPr>
      <w:r>
        <w:t>Operating result – items affecting comparability</w:t>
      </w:r>
    </w:p>
    <w:p w:rsidR="00022155" w:rsidP="00022155" w14:paraId="3AC0AC4F" w14:textId="77777777">
      <w:pPr>
        <w:pStyle w:val="Bodytext2"/>
      </w:pPr>
    </w:p>
    <w:p w:rsidR="00022155" w:rsidP="00022155" w14:paraId="0C9F232D" w14:textId="77777777">
      <w:pPr>
        <w:pStyle w:val="Heading13"/>
      </w:pPr>
      <w:r>
        <w:t>Comparable adjusted EBITA</w:t>
      </w:r>
    </w:p>
    <w:p w:rsidR="00022155" w:rsidP="00022155" w14:paraId="50152BF8" w14:textId="77777777">
      <w:pPr>
        <w:pStyle w:val="Bodytext2"/>
      </w:pPr>
      <w:r>
        <w:t>Ope</w:t>
      </w:r>
      <w:r>
        <w:t>rating result – items affecting comparability – purchase price allocation amortisation</w:t>
      </w:r>
    </w:p>
    <w:p w:rsidR="00022155" w:rsidP="00022155" w14:paraId="5744B2E4" w14:textId="77777777">
      <w:pPr>
        <w:pStyle w:val="Bodytext2"/>
      </w:pPr>
    </w:p>
    <w:p w:rsidR="00974ADA" w:rsidP="00974ADA" w14:paraId="26016BED" w14:textId="28246644">
      <w:pPr>
        <w:pStyle w:val="Bodytext2"/>
      </w:pPr>
    </w:p>
    <w:p w:rsidR="003C5DEB" w:rsidRPr="003C5DEB" w:rsidP="00974ADA" w14:paraId="177407C3" w14:textId="77777777">
      <w:pPr>
        <w:pStyle w:val="Bodytext2"/>
        <w:rPr>
          <w:sz w:val="6"/>
          <w:szCs w:val="6"/>
        </w:rPr>
      </w:pPr>
    </w:p>
    <w:p w:rsidR="00022155" w:rsidP="00022155" w14:paraId="018FC0F4" w14:textId="3698FBD2">
      <w:pPr>
        <w:pStyle w:val="Heading13"/>
      </w:pPr>
      <w:r>
        <w:t>Gross capital expenditure</w:t>
      </w:r>
    </w:p>
    <w:p w:rsidR="00022155" w:rsidP="00022155" w14:paraId="02EA083E" w14:textId="77777777">
      <w:pPr>
        <w:pStyle w:val="Bodytext2"/>
      </w:pPr>
      <w:r>
        <w:t>Investments in securities and acquisitions + investments in intangible assets and property, plant and equipment</w:t>
      </w:r>
    </w:p>
    <w:p w:rsidR="00022155" w:rsidP="00022155" w14:paraId="674ADD75" w14:textId="77777777">
      <w:pPr>
        <w:pStyle w:val="Bodytext2"/>
      </w:pPr>
    </w:p>
    <w:p w:rsidR="00022155" w:rsidP="00022155" w14:paraId="3E1EB9EA" w14:textId="77777777">
      <w:pPr>
        <w:pStyle w:val="Heading13"/>
      </w:pPr>
      <w:r>
        <w:t>Net interest-bearing debt</w:t>
      </w:r>
    </w:p>
    <w:p w:rsidR="00022155" w:rsidP="00022155" w14:paraId="3BCF2086" w14:textId="77777777">
      <w:pPr>
        <w:pStyle w:val="Bodytext2"/>
      </w:pPr>
      <w:r>
        <w:t>To</w:t>
      </w:r>
      <w:r>
        <w:t>tal of non-current and current interest-bearing debt + total of non-current and current lease liabilities – interest-bearing receivables – cash and cash equivalents</w:t>
      </w:r>
    </w:p>
    <w:p w:rsidR="00022155" w:rsidP="00022155" w14:paraId="141F7858" w14:textId="77777777">
      <w:pPr>
        <w:pStyle w:val="Bodytext2"/>
      </w:pPr>
    </w:p>
    <w:p w:rsidR="00022155" w:rsidP="00022155" w14:paraId="16587C46" w14:textId="77777777">
      <w:pPr>
        <w:pStyle w:val="Heading13"/>
      </w:pPr>
      <w:r>
        <w:t>Equity per share</w:t>
      </w:r>
    </w:p>
    <w:tbl>
      <w:tblPr>
        <w:tblStyle w:val="TableGrid0"/>
        <w:tblW w:w="0" w:type="auto"/>
        <w:tblInd w:w="5" w:type="dxa"/>
        <w:tblLook w:val="04A0"/>
      </w:tblPr>
      <w:tblGrid>
        <w:gridCol w:w="7345"/>
        <w:gridCol w:w="20"/>
      </w:tblGrid>
      <w:tr w14:paraId="2196270F" w14:textId="77777777" w:rsidTr="00022155">
        <w:tblPrEx>
          <w:tblW w:w="0" w:type="auto"/>
          <w:tblInd w:w="5" w:type="dxa"/>
          <w:tblLook w:val="04A0"/>
        </w:tblPrEx>
        <w:tc>
          <w:tcPr>
            <w:tcW w:w="7361" w:type="dxa"/>
            <w:tcBorders>
              <w:top w:val="nil"/>
              <w:left w:val="nil"/>
              <w:bottom w:val="single" w:sz="4" w:space="0" w:color="auto"/>
              <w:right w:val="nil"/>
            </w:tcBorders>
            <w:hideMark/>
          </w:tcPr>
          <w:p w:rsidR="00022155" w:rsidRPr="007C7DD5" w:rsidP="00022155" w14:paraId="5BA434A9" w14:textId="77777777">
            <w:pPr>
              <w:pStyle w:val="Bodytext2"/>
              <w:rPr>
                <w:lang w:val="en-GB"/>
              </w:rPr>
            </w:pPr>
            <w:r w:rsidRPr="007C7DD5">
              <w:rPr>
                <w:lang w:val="en-GB"/>
              </w:rPr>
              <w:t>Equity attributable to equity holders of the parent company</w:t>
            </w:r>
          </w:p>
        </w:tc>
        <w:tc>
          <w:tcPr>
            <w:tcW w:w="20" w:type="dxa"/>
            <w:vMerge w:val="restart"/>
            <w:vAlign w:val="center"/>
          </w:tcPr>
          <w:p w:rsidR="00022155" w:rsidRPr="007C7DD5" w:rsidP="00022155" w14:paraId="4585302E" w14:textId="77777777">
            <w:pPr>
              <w:pStyle w:val="Bodytext2"/>
              <w:rPr>
                <w:lang w:val="en-GB"/>
              </w:rPr>
            </w:pPr>
          </w:p>
        </w:tc>
      </w:tr>
      <w:tr w14:paraId="02E1F815" w14:textId="77777777" w:rsidTr="00022155">
        <w:tblPrEx>
          <w:tblW w:w="0" w:type="auto"/>
          <w:tblInd w:w="5" w:type="dxa"/>
          <w:tblLook w:val="04A0"/>
        </w:tblPrEx>
        <w:tc>
          <w:tcPr>
            <w:tcW w:w="7361" w:type="dxa"/>
            <w:tcBorders>
              <w:top w:val="single" w:sz="4" w:space="0" w:color="auto"/>
              <w:left w:val="nil"/>
              <w:bottom w:val="nil"/>
              <w:right w:val="nil"/>
            </w:tcBorders>
            <w:hideMark/>
          </w:tcPr>
          <w:p w:rsidR="00022155" w:rsidRPr="007C7DD5" w:rsidP="00022155" w14:paraId="186535D4" w14:textId="77777777">
            <w:pPr>
              <w:pStyle w:val="Bodytext2"/>
              <w:rPr>
                <w:lang w:val="en-GB"/>
              </w:rPr>
            </w:pPr>
            <w:r w:rsidRPr="007C7DD5">
              <w:rPr>
                <w:lang w:val="en-GB"/>
              </w:rPr>
              <w:t>Adjusted number of shares at the end of the financial period</w:t>
            </w:r>
          </w:p>
        </w:tc>
        <w:tc>
          <w:tcPr>
            <w:tcW w:w="0" w:type="auto"/>
            <w:vMerge/>
            <w:vAlign w:val="center"/>
            <w:hideMark/>
          </w:tcPr>
          <w:p w:rsidR="00022155" w:rsidRPr="007C7DD5" w:rsidP="00022155" w14:paraId="7DCED583" w14:textId="77777777">
            <w:pPr>
              <w:pStyle w:val="Bodytext2"/>
              <w:rPr>
                <w:lang w:val="en-GB"/>
              </w:rPr>
            </w:pPr>
          </w:p>
        </w:tc>
      </w:tr>
    </w:tbl>
    <w:p w:rsidR="00022155" w:rsidRPr="0096419A" w:rsidP="00974ADA" w14:paraId="31F6E9EA" w14:textId="77777777">
      <w:pPr>
        <w:pStyle w:val="Bodytext2"/>
        <w:rPr>
          <w:lang w:val="en-GB"/>
        </w:rPr>
      </w:pPr>
    </w:p>
    <w:p w:rsidR="00022155" w:rsidP="00022155" w14:paraId="687876E5" w14:textId="77777777">
      <w:pPr>
        <w:pStyle w:val="Heading13"/>
      </w:pPr>
      <w:r>
        <w:t>Solvency ratio</w:t>
      </w:r>
    </w:p>
    <w:tbl>
      <w:tblPr>
        <w:tblStyle w:val="TableGrid0"/>
        <w:tblW w:w="0" w:type="auto"/>
        <w:tblInd w:w="5" w:type="dxa"/>
        <w:tblLook w:val="04A0"/>
      </w:tblPr>
      <w:tblGrid>
        <w:gridCol w:w="6799"/>
        <w:gridCol w:w="562"/>
      </w:tblGrid>
      <w:tr w14:paraId="40F13BD3" w14:textId="77777777" w:rsidTr="00022155">
        <w:tblPrEx>
          <w:tblW w:w="0" w:type="auto"/>
          <w:tblInd w:w="5" w:type="dxa"/>
          <w:tblLook w:val="04A0"/>
        </w:tblPrEx>
        <w:tc>
          <w:tcPr>
            <w:tcW w:w="6799" w:type="dxa"/>
            <w:tcBorders>
              <w:top w:val="nil"/>
              <w:left w:val="nil"/>
              <w:bottom w:val="single" w:sz="4" w:space="0" w:color="auto"/>
              <w:right w:val="nil"/>
            </w:tcBorders>
            <w:hideMark/>
          </w:tcPr>
          <w:p w:rsidR="00022155" w:rsidP="00022155" w14:paraId="70762B92" w14:textId="77777777">
            <w:pPr>
              <w:pStyle w:val="Bodytext2"/>
            </w:pPr>
            <w:r>
              <w:t>Equity</w:t>
            </w:r>
          </w:p>
        </w:tc>
        <w:tc>
          <w:tcPr>
            <w:tcW w:w="562" w:type="dxa"/>
            <w:vMerge w:val="restart"/>
            <w:vAlign w:val="center"/>
            <w:hideMark/>
          </w:tcPr>
          <w:p w:rsidR="00022155" w:rsidP="00022155" w14:paraId="00726DF7" w14:textId="77777777">
            <w:pPr>
              <w:pStyle w:val="Bodytext2"/>
            </w:pPr>
            <w:r>
              <w:t xml:space="preserve">   x 100</w:t>
            </w:r>
          </w:p>
        </w:tc>
      </w:tr>
      <w:tr w14:paraId="39DEC9B3" w14:textId="77777777" w:rsidTr="00022155">
        <w:tblPrEx>
          <w:tblW w:w="0" w:type="auto"/>
          <w:tblInd w:w="5" w:type="dxa"/>
          <w:tblLook w:val="04A0"/>
        </w:tblPrEx>
        <w:tc>
          <w:tcPr>
            <w:tcW w:w="6799" w:type="dxa"/>
            <w:tcBorders>
              <w:top w:val="single" w:sz="4" w:space="0" w:color="auto"/>
              <w:left w:val="nil"/>
              <w:bottom w:val="nil"/>
              <w:right w:val="nil"/>
            </w:tcBorders>
            <w:hideMark/>
          </w:tcPr>
          <w:p w:rsidR="00022155" w:rsidRPr="007C7DD5" w:rsidP="00022155" w14:paraId="0190F61C" w14:textId="77777777">
            <w:pPr>
              <w:pStyle w:val="Bodytext2"/>
              <w:rPr>
                <w:lang w:val="en-GB"/>
              </w:rPr>
            </w:pPr>
            <w:r w:rsidRPr="007C7DD5">
              <w:rPr>
                <w:lang w:val="en-GB"/>
              </w:rPr>
              <w:t>Total equity and liabilities – advances received</w:t>
            </w:r>
          </w:p>
        </w:tc>
        <w:tc>
          <w:tcPr>
            <w:tcW w:w="0" w:type="auto"/>
            <w:vMerge/>
            <w:vAlign w:val="center"/>
            <w:hideMark/>
          </w:tcPr>
          <w:p w:rsidR="00022155" w:rsidRPr="007C7DD5" w:rsidP="00022155" w14:paraId="313E30B1" w14:textId="77777777">
            <w:pPr>
              <w:pStyle w:val="Bodytext2"/>
              <w:rPr>
                <w:lang w:val="en-GB"/>
              </w:rPr>
            </w:pPr>
          </w:p>
        </w:tc>
      </w:tr>
    </w:tbl>
    <w:p w:rsidR="00022155" w:rsidRPr="00974ADA" w:rsidP="00974ADA" w14:paraId="32EC9D60" w14:textId="77777777">
      <w:pPr>
        <w:pStyle w:val="Bodytext2"/>
      </w:pPr>
    </w:p>
    <w:p w:rsidR="00022155" w:rsidP="00022155" w14:paraId="3A5E36A7" w14:textId="77777777">
      <w:pPr>
        <w:pStyle w:val="Heading13"/>
      </w:pPr>
      <w:r>
        <w:t>Gearing</w:t>
      </w:r>
    </w:p>
    <w:tbl>
      <w:tblPr>
        <w:tblStyle w:val="TableGrid0"/>
        <w:tblW w:w="0" w:type="auto"/>
        <w:tblInd w:w="5" w:type="dxa"/>
        <w:tblLook w:val="04A0"/>
      </w:tblPr>
      <w:tblGrid>
        <w:gridCol w:w="7345"/>
        <w:gridCol w:w="20"/>
      </w:tblGrid>
      <w:tr w14:paraId="1365976C" w14:textId="77777777" w:rsidTr="00022155">
        <w:tblPrEx>
          <w:tblW w:w="0" w:type="auto"/>
          <w:tblInd w:w="5" w:type="dxa"/>
          <w:tblLook w:val="04A0"/>
        </w:tblPrEx>
        <w:tc>
          <w:tcPr>
            <w:tcW w:w="7361" w:type="dxa"/>
            <w:tcBorders>
              <w:top w:val="nil"/>
              <w:left w:val="nil"/>
              <w:bottom w:val="single" w:sz="4" w:space="0" w:color="auto"/>
              <w:right w:val="nil"/>
            </w:tcBorders>
            <w:hideMark/>
          </w:tcPr>
          <w:p w:rsidR="00022155" w:rsidRPr="007C7DD5" w:rsidP="00022155" w14:paraId="4B638925" w14:textId="77777777">
            <w:pPr>
              <w:pStyle w:val="Bodytext2"/>
              <w:rPr>
                <w:lang w:val="en-GB"/>
              </w:rPr>
            </w:pPr>
            <w:r w:rsidRPr="007C7DD5">
              <w:rPr>
                <w:lang w:val="en-GB"/>
              </w:rPr>
              <w:t>Interest-bearing liabilities – cash and cash equivalents</w:t>
            </w:r>
          </w:p>
        </w:tc>
        <w:tc>
          <w:tcPr>
            <w:tcW w:w="20" w:type="dxa"/>
            <w:vMerge w:val="restart"/>
            <w:vAlign w:val="center"/>
          </w:tcPr>
          <w:p w:rsidR="00022155" w:rsidRPr="007C7DD5" w:rsidP="00022155" w14:paraId="44914089" w14:textId="77777777">
            <w:pPr>
              <w:pStyle w:val="Bodytext2"/>
              <w:rPr>
                <w:lang w:val="en-GB"/>
              </w:rPr>
            </w:pPr>
          </w:p>
        </w:tc>
      </w:tr>
      <w:tr w14:paraId="6074A812" w14:textId="77777777" w:rsidTr="00022155">
        <w:tblPrEx>
          <w:tblW w:w="0" w:type="auto"/>
          <w:tblInd w:w="5" w:type="dxa"/>
          <w:tblLook w:val="04A0"/>
        </w:tblPrEx>
        <w:tc>
          <w:tcPr>
            <w:tcW w:w="7361" w:type="dxa"/>
            <w:tcBorders>
              <w:top w:val="single" w:sz="4" w:space="0" w:color="auto"/>
              <w:left w:val="nil"/>
              <w:bottom w:val="nil"/>
              <w:right w:val="nil"/>
            </w:tcBorders>
            <w:hideMark/>
          </w:tcPr>
          <w:p w:rsidR="00022155" w:rsidP="00022155" w14:paraId="3B6EC0EF" w14:textId="550B2142">
            <w:pPr>
              <w:pStyle w:val="Bodytext2"/>
            </w:pPr>
            <w:r>
              <w:t>Equity</w:t>
            </w:r>
          </w:p>
        </w:tc>
        <w:tc>
          <w:tcPr>
            <w:tcW w:w="0" w:type="auto"/>
            <w:vMerge/>
            <w:vAlign w:val="center"/>
            <w:hideMark/>
          </w:tcPr>
          <w:p w:rsidR="00022155" w:rsidP="00022155" w14:paraId="22EC5B3B" w14:textId="77777777">
            <w:pPr>
              <w:pStyle w:val="Bodytext2"/>
            </w:pPr>
          </w:p>
        </w:tc>
      </w:tr>
    </w:tbl>
    <w:p w:rsidR="00022155" w:rsidP="00022155" w14:paraId="6688D68A" w14:textId="77777777">
      <w:pPr>
        <w:pStyle w:val="Heading13"/>
      </w:pPr>
    </w:p>
    <w:p w:rsidR="00022155" w:rsidP="00022155" w14:paraId="766098DF" w14:textId="349C2D76">
      <w:pPr>
        <w:pStyle w:val="Heading13"/>
        <w:rPr>
          <w:rFonts w:asciiTheme="minorHAnsi" w:hAnsiTheme="minorHAnsi" w:cstheme="minorHAnsi"/>
          <w:lang w:eastAsia="fi-FI"/>
        </w:rPr>
      </w:pPr>
      <w:r>
        <w:t>Return on investment (ROI)</w:t>
      </w:r>
    </w:p>
    <w:tbl>
      <w:tblPr>
        <w:tblStyle w:val="TableGrid0"/>
        <w:tblW w:w="0" w:type="auto"/>
        <w:tblInd w:w="5" w:type="dxa"/>
        <w:tblLook w:val="04A0"/>
      </w:tblPr>
      <w:tblGrid>
        <w:gridCol w:w="6799"/>
        <w:gridCol w:w="562"/>
      </w:tblGrid>
      <w:tr w14:paraId="37D7757A" w14:textId="77777777" w:rsidTr="00022155">
        <w:tblPrEx>
          <w:tblW w:w="0" w:type="auto"/>
          <w:tblInd w:w="5" w:type="dxa"/>
          <w:tblLook w:val="04A0"/>
        </w:tblPrEx>
        <w:tc>
          <w:tcPr>
            <w:tcW w:w="6799" w:type="dxa"/>
            <w:tcBorders>
              <w:top w:val="nil"/>
              <w:left w:val="nil"/>
              <w:bottom w:val="single" w:sz="4" w:space="0" w:color="auto"/>
              <w:right w:val="nil"/>
            </w:tcBorders>
            <w:hideMark/>
          </w:tcPr>
          <w:p w:rsidR="00022155" w:rsidRPr="007C7DD5" w:rsidP="00022155" w14:paraId="72D59726" w14:textId="77777777">
            <w:pPr>
              <w:pStyle w:val="Bodytext2"/>
              <w:rPr>
                <w:lang w:val="en-GB"/>
              </w:rPr>
            </w:pPr>
            <w:r w:rsidRPr="007C7DD5">
              <w:rPr>
                <w:lang w:val="en-GB"/>
              </w:rPr>
              <w:t xml:space="preserve">Profit before taxes + interest and other financial expenses </w:t>
            </w:r>
          </w:p>
        </w:tc>
        <w:tc>
          <w:tcPr>
            <w:tcW w:w="562" w:type="dxa"/>
            <w:vMerge w:val="restart"/>
            <w:vAlign w:val="center"/>
            <w:hideMark/>
          </w:tcPr>
          <w:p w:rsidR="00022155" w:rsidP="00022155" w14:paraId="07147BA1" w14:textId="77777777">
            <w:pPr>
              <w:pStyle w:val="Bodytext2"/>
            </w:pPr>
            <w:r w:rsidRPr="007C7DD5">
              <w:rPr>
                <w:lang w:val="en-GB"/>
              </w:rPr>
              <w:t xml:space="preserve">   </w:t>
            </w:r>
            <w:r>
              <w:t>x 100</w:t>
            </w:r>
          </w:p>
        </w:tc>
      </w:tr>
      <w:tr w14:paraId="7FA05DEC" w14:textId="77777777" w:rsidTr="00022155">
        <w:tblPrEx>
          <w:tblW w:w="0" w:type="auto"/>
          <w:tblInd w:w="5" w:type="dxa"/>
          <w:tblLook w:val="04A0"/>
        </w:tblPrEx>
        <w:tc>
          <w:tcPr>
            <w:tcW w:w="6799" w:type="dxa"/>
            <w:tcBorders>
              <w:top w:val="single" w:sz="4" w:space="0" w:color="auto"/>
              <w:left w:val="nil"/>
              <w:bottom w:val="nil"/>
              <w:right w:val="nil"/>
            </w:tcBorders>
            <w:hideMark/>
          </w:tcPr>
          <w:p w:rsidR="00022155" w:rsidRPr="007C7DD5" w:rsidP="00022155" w14:paraId="5FC2A6AE" w14:textId="77777777">
            <w:pPr>
              <w:pStyle w:val="Bodytext2"/>
              <w:rPr>
                <w:lang w:val="en-GB"/>
              </w:rPr>
            </w:pPr>
            <w:r w:rsidRPr="007C7DD5">
              <w:rPr>
                <w:lang w:val="en-GB"/>
              </w:rPr>
              <w:t>Total equity and liabilities – non-interest-bearing liabilities – provisions, average over financial period</w:t>
            </w:r>
          </w:p>
        </w:tc>
        <w:tc>
          <w:tcPr>
            <w:tcW w:w="0" w:type="auto"/>
            <w:vMerge/>
            <w:vAlign w:val="center"/>
            <w:hideMark/>
          </w:tcPr>
          <w:p w:rsidR="00022155" w:rsidRPr="007C7DD5" w:rsidP="00022155" w14:paraId="4981477D" w14:textId="77777777">
            <w:pPr>
              <w:pStyle w:val="Bodytext2"/>
              <w:rPr>
                <w:lang w:val="en-GB"/>
              </w:rPr>
            </w:pPr>
          </w:p>
        </w:tc>
      </w:tr>
    </w:tbl>
    <w:p w:rsidR="00022155" w:rsidRPr="00974ADA" w:rsidP="00974ADA" w14:paraId="46402CEE" w14:textId="77777777">
      <w:pPr>
        <w:pStyle w:val="Bodytext2"/>
      </w:pPr>
    </w:p>
    <w:p w:rsidR="00974ADA" w:rsidP="00974ADA" w14:paraId="5E203DBA" w14:textId="77777777">
      <w:pPr>
        <w:pStyle w:val="Bodytext2"/>
      </w:pPr>
    </w:p>
    <w:p w:rsidR="00022155" w:rsidP="00022155" w14:paraId="27088C97" w14:textId="1F962543">
      <w:pPr>
        <w:pStyle w:val="Heading13"/>
      </w:pPr>
      <w:r>
        <w:t>Return on equity (ROE)</w:t>
      </w:r>
    </w:p>
    <w:tbl>
      <w:tblPr>
        <w:tblStyle w:val="TableGrid0"/>
        <w:tblW w:w="0" w:type="auto"/>
        <w:tblInd w:w="5" w:type="dxa"/>
        <w:tblLook w:val="04A0"/>
      </w:tblPr>
      <w:tblGrid>
        <w:gridCol w:w="6799"/>
        <w:gridCol w:w="562"/>
      </w:tblGrid>
      <w:tr w14:paraId="35EE465C" w14:textId="77777777" w:rsidTr="00022155">
        <w:tblPrEx>
          <w:tblW w:w="0" w:type="auto"/>
          <w:tblInd w:w="5" w:type="dxa"/>
          <w:tblLook w:val="04A0"/>
        </w:tblPrEx>
        <w:tc>
          <w:tcPr>
            <w:tcW w:w="6799" w:type="dxa"/>
            <w:tcBorders>
              <w:top w:val="nil"/>
              <w:left w:val="nil"/>
              <w:bottom w:val="single" w:sz="4" w:space="0" w:color="auto"/>
              <w:right w:val="nil"/>
            </w:tcBorders>
            <w:hideMark/>
          </w:tcPr>
          <w:p w:rsidR="00022155" w:rsidRPr="007C7DD5" w:rsidP="00022155" w14:paraId="0E064670" w14:textId="77777777">
            <w:pPr>
              <w:pStyle w:val="Bodytext2"/>
              <w:rPr>
                <w:lang w:val="en-GB"/>
              </w:rPr>
            </w:pPr>
            <w:r w:rsidRPr="007C7DD5">
              <w:rPr>
                <w:lang w:val="en-GB"/>
              </w:rPr>
              <w:t>Profit for the financial period</w:t>
            </w:r>
          </w:p>
        </w:tc>
        <w:tc>
          <w:tcPr>
            <w:tcW w:w="562" w:type="dxa"/>
            <w:vMerge w:val="restart"/>
            <w:vAlign w:val="center"/>
            <w:hideMark/>
          </w:tcPr>
          <w:p w:rsidR="00022155" w:rsidP="00022155" w14:paraId="21C8F867" w14:textId="77777777">
            <w:pPr>
              <w:pStyle w:val="Bodytext2"/>
            </w:pPr>
            <w:r w:rsidRPr="007C7DD5">
              <w:rPr>
                <w:lang w:val="en-GB"/>
              </w:rPr>
              <w:t xml:space="preserve">   </w:t>
            </w:r>
            <w:r>
              <w:t>x 100</w:t>
            </w:r>
          </w:p>
        </w:tc>
      </w:tr>
      <w:tr w14:paraId="41323919" w14:textId="77777777" w:rsidTr="00022155">
        <w:tblPrEx>
          <w:tblW w:w="0" w:type="auto"/>
          <w:tblInd w:w="5" w:type="dxa"/>
          <w:tblLook w:val="04A0"/>
        </w:tblPrEx>
        <w:tc>
          <w:tcPr>
            <w:tcW w:w="6799" w:type="dxa"/>
            <w:tcBorders>
              <w:top w:val="single" w:sz="4" w:space="0" w:color="auto"/>
              <w:left w:val="nil"/>
              <w:bottom w:val="nil"/>
              <w:right w:val="nil"/>
            </w:tcBorders>
            <w:hideMark/>
          </w:tcPr>
          <w:p w:rsidR="00022155" w:rsidRPr="007C7DD5" w:rsidP="00022155" w14:paraId="110E0114" w14:textId="77777777">
            <w:pPr>
              <w:pStyle w:val="Bodytext2"/>
              <w:rPr>
                <w:lang w:val="en-GB"/>
              </w:rPr>
            </w:pPr>
            <w:r w:rsidRPr="007C7DD5">
              <w:rPr>
                <w:lang w:val="en-GB"/>
              </w:rPr>
              <w:t>Equity, average over the financial period</w:t>
            </w:r>
          </w:p>
        </w:tc>
        <w:tc>
          <w:tcPr>
            <w:tcW w:w="0" w:type="auto"/>
            <w:vMerge/>
            <w:vAlign w:val="center"/>
            <w:hideMark/>
          </w:tcPr>
          <w:p w:rsidR="00022155" w:rsidRPr="007C7DD5" w:rsidP="00022155" w14:paraId="614C24F2" w14:textId="77777777">
            <w:pPr>
              <w:pStyle w:val="Bodytext2"/>
              <w:rPr>
                <w:lang w:val="en-GB"/>
              </w:rPr>
            </w:pPr>
          </w:p>
        </w:tc>
      </w:tr>
    </w:tbl>
    <w:p w:rsidR="00022155" w:rsidRPr="00974ADA" w:rsidP="00974ADA" w14:paraId="3EC53E1D" w14:textId="77777777">
      <w:pPr>
        <w:pStyle w:val="Bodytext2"/>
      </w:pPr>
    </w:p>
    <w:p w:rsidR="00022155" w:rsidP="00022155" w14:paraId="2FECA3B2" w14:textId="77777777">
      <w:pPr>
        <w:pStyle w:val="Heading13"/>
      </w:pPr>
      <w:r>
        <w:t>Order intake</w:t>
      </w:r>
    </w:p>
    <w:p w:rsidR="00022155" w:rsidP="00022155" w14:paraId="2450B03E" w14:textId="77777777">
      <w:pPr>
        <w:pStyle w:val="Bodytext2"/>
      </w:pPr>
      <w:r>
        <w:t>Total amount of orders received during the financial period to be delivered either during the current financial period or thereafter.</w:t>
      </w:r>
    </w:p>
    <w:p w:rsidR="00022155" w:rsidP="00022155" w14:paraId="4686066D" w14:textId="77777777">
      <w:pPr>
        <w:pStyle w:val="Bodytext2"/>
      </w:pPr>
    </w:p>
    <w:p w:rsidR="00022155" w:rsidP="00022155" w14:paraId="1EB15D84" w14:textId="77777777">
      <w:pPr>
        <w:pStyle w:val="Heading13"/>
      </w:pPr>
      <w:r>
        <w:t>Order book</w:t>
      </w:r>
    </w:p>
    <w:p w:rsidR="00022155" w:rsidP="00022155" w14:paraId="155D433C" w14:textId="744DE6F4">
      <w:pPr>
        <w:pStyle w:val="Bodytext2"/>
      </w:pPr>
      <w:r>
        <w:t>The presentation in value of orders that are placed by customers but not yet delivered. For service agreements, only the expected net sales for the next 24 months are included in the order book.</w:t>
      </w:r>
    </w:p>
    <w:p w:rsidR="00022155" w:rsidP="00022155" w14:paraId="35E903B4" w14:textId="77777777">
      <w:pPr>
        <w:pStyle w:val="Bodytext2"/>
      </w:pPr>
    </w:p>
    <w:p w:rsidR="00022155" w:rsidP="00022155" w14:paraId="473FDEFE" w14:textId="77777777">
      <w:pPr>
        <w:pStyle w:val="Heading13"/>
      </w:pPr>
      <w:r>
        <w:t>Working capital (WCAP)</w:t>
      </w:r>
    </w:p>
    <w:p w:rsidR="00022155" w:rsidP="00022155" w14:paraId="785A7E80" w14:textId="77777777">
      <w:pPr>
        <w:pStyle w:val="Bodytext2"/>
      </w:pPr>
      <w:r>
        <w:t>(Inventories + trade receivables + cu</w:t>
      </w:r>
      <w:r>
        <w:t>rrent tax receivables + other non-interest-bearing receivables)</w:t>
      </w:r>
    </w:p>
    <w:p w:rsidR="00022155" w:rsidP="00022155" w14:paraId="42B3F899" w14:textId="77777777">
      <w:pPr>
        <w:pStyle w:val="Bodytext2"/>
      </w:pPr>
      <w:r>
        <w:t>– (trade payables + advances received + pension obligations + provisions + current tax liabilities + other non-interest-bearing liabilities – dividend payable)</w:t>
      </w:r>
    </w:p>
    <w:p w:rsidR="00022155" w:rsidP="00022155" w14:paraId="0D54E86A" w14:textId="77777777">
      <w:pPr>
        <w:pStyle w:val="Bodytext2"/>
      </w:pPr>
    </w:p>
    <w:p w:rsidR="00022155" w:rsidP="00022155" w14:paraId="0D64F464" w14:textId="77777777">
      <w:pPr>
        <w:pStyle w:val="Heading13"/>
      </w:pPr>
      <w:r>
        <w:t>Interest coverage</w:t>
      </w:r>
    </w:p>
    <w:tbl>
      <w:tblPr>
        <w:tblStyle w:val="TableGrid0"/>
        <w:tblW w:w="0" w:type="auto"/>
        <w:tblInd w:w="5" w:type="dxa"/>
        <w:tblLook w:val="04A0"/>
      </w:tblPr>
      <w:tblGrid>
        <w:gridCol w:w="7345"/>
        <w:gridCol w:w="20"/>
      </w:tblGrid>
      <w:tr w14:paraId="07681E27" w14:textId="77777777" w:rsidTr="00022155">
        <w:tblPrEx>
          <w:tblW w:w="0" w:type="auto"/>
          <w:tblInd w:w="5" w:type="dxa"/>
          <w:tblLook w:val="04A0"/>
        </w:tblPrEx>
        <w:tc>
          <w:tcPr>
            <w:tcW w:w="7361" w:type="dxa"/>
            <w:tcBorders>
              <w:top w:val="nil"/>
              <w:left w:val="nil"/>
              <w:bottom w:val="single" w:sz="4" w:space="0" w:color="auto"/>
              <w:right w:val="nil"/>
            </w:tcBorders>
            <w:hideMark/>
          </w:tcPr>
          <w:p w:rsidR="00022155" w:rsidRPr="007C7DD5" w:rsidP="00022155" w14:paraId="7500578C" w14:textId="77777777">
            <w:pPr>
              <w:pStyle w:val="Bodytext2"/>
              <w:rPr>
                <w:lang w:val="en-GB"/>
              </w:rPr>
            </w:pPr>
            <w:r w:rsidRPr="007C7DD5">
              <w:rPr>
                <w:lang w:val="en-GB"/>
              </w:rPr>
              <w:t>Profit before</w:t>
            </w:r>
            <w:r w:rsidRPr="007C7DD5">
              <w:rPr>
                <w:lang w:val="en-GB"/>
              </w:rPr>
              <w:t xml:space="preserve"> taxes + depreciation, amortisation and impairment + interest and other financial expenses</w:t>
            </w:r>
          </w:p>
        </w:tc>
        <w:tc>
          <w:tcPr>
            <w:tcW w:w="20" w:type="dxa"/>
            <w:vMerge w:val="restart"/>
            <w:vAlign w:val="center"/>
          </w:tcPr>
          <w:p w:rsidR="00022155" w:rsidRPr="007C7DD5" w:rsidP="00022155" w14:paraId="292B910B" w14:textId="77777777">
            <w:pPr>
              <w:pStyle w:val="Bodytext2"/>
              <w:rPr>
                <w:lang w:val="en-GB"/>
              </w:rPr>
            </w:pPr>
          </w:p>
        </w:tc>
      </w:tr>
      <w:tr w14:paraId="5431E409" w14:textId="77777777" w:rsidTr="00022155">
        <w:tblPrEx>
          <w:tblW w:w="0" w:type="auto"/>
          <w:tblInd w:w="5" w:type="dxa"/>
          <w:tblLook w:val="04A0"/>
        </w:tblPrEx>
        <w:tc>
          <w:tcPr>
            <w:tcW w:w="7361" w:type="dxa"/>
            <w:tcBorders>
              <w:top w:val="single" w:sz="4" w:space="0" w:color="auto"/>
              <w:left w:val="nil"/>
              <w:bottom w:val="nil"/>
              <w:right w:val="nil"/>
            </w:tcBorders>
            <w:hideMark/>
          </w:tcPr>
          <w:p w:rsidR="00022155" w:rsidRPr="007C7DD5" w:rsidP="00022155" w14:paraId="405978C3" w14:textId="77777777">
            <w:pPr>
              <w:pStyle w:val="Bodytext2"/>
              <w:rPr>
                <w:lang w:val="en-GB"/>
              </w:rPr>
            </w:pPr>
            <w:r w:rsidRPr="007C7DD5">
              <w:rPr>
                <w:lang w:val="en-GB"/>
              </w:rPr>
              <w:t>Interest and other financial expenses</w:t>
            </w:r>
          </w:p>
        </w:tc>
        <w:tc>
          <w:tcPr>
            <w:tcW w:w="0" w:type="auto"/>
            <w:vMerge/>
            <w:vAlign w:val="center"/>
            <w:hideMark/>
          </w:tcPr>
          <w:p w:rsidR="00022155" w:rsidRPr="007C7DD5" w:rsidP="00022155" w14:paraId="437AAC54" w14:textId="77777777">
            <w:pPr>
              <w:pStyle w:val="Bodytext2"/>
              <w:rPr>
                <w:lang w:val="en-GB"/>
              </w:rPr>
            </w:pPr>
          </w:p>
        </w:tc>
      </w:tr>
    </w:tbl>
    <w:p w:rsidR="00022155" w:rsidRPr="00974ADA" w:rsidP="00974ADA" w14:paraId="19061F17" w14:textId="77777777">
      <w:pPr>
        <w:pStyle w:val="Bodytext2"/>
      </w:pPr>
    </w:p>
    <w:p w:rsidR="00022155" w:rsidP="00022155" w14:paraId="1AE36576" w14:textId="77777777">
      <w:pPr>
        <w:pStyle w:val="Heading13"/>
      </w:pPr>
      <w:r>
        <w:t>Dividend per share</w:t>
      </w:r>
    </w:p>
    <w:tbl>
      <w:tblPr>
        <w:tblStyle w:val="TableGrid0"/>
        <w:tblW w:w="0" w:type="auto"/>
        <w:tblInd w:w="5" w:type="dxa"/>
        <w:tblLook w:val="04A0"/>
      </w:tblPr>
      <w:tblGrid>
        <w:gridCol w:w="7345"/>
        <w:gridCol w:w="20"/>
      </w:tblGrid>
      <w:tr w14:paraId="55A996A3" w14:textId="77777777" w:rsidTr="00022155">
        <w:tblPrEx>
          <w:tblW w:w="0" w:type="auto"/>
          <w:tblInd w:w="5" w:type="dxa"/>
          <w:tblLook w:val="04A0"/>
        </w:tblPrEx>
        <w:tc>
          <w:tcPr>
            <w:tcW w:w="7361" w:type="dxa"/>
            <w:tcBorders>
              <w:top w:val="nil"/>
              <w:left w:val="nil"/>
              <w:bottom w:val="single" w:sz="4" w:space="0" w:color="auto"/>
              <w:right w:val="nil"/>
            </w:tcBorders>
            <w:hideMark/>
          </w:tcPr>
          <w:p w:rsidR="00022155" w:rsidRPr="007C7DD5" w:rsidP="00022155" w14:paraId="20B82ADF" w14:textId="77777777">
            <w:pPr>
              <w:pStyle w:val="Bodytext2"/>
              <w:rPr>
                <w:lang w:val="en-GB"/>
              </w:rPr>
            </w:pPr>
            <w:r w:rsidRPr="007C7DD5">
              <w:rPr>
                <w:lang w:val="en-GB"/>
              </w:rPr>
              <w:t>Dividends paid for the financial period</w:t>
            </w:r>
          </w:p>
        </w:tc>
        <w:tc>
          <w:tcPr>
            <w:tcW w:w="20" w:type="dxa"/>
            <w:vMerge w:val="restart"/>
            <w:vAlign w:val="center"/>
          </w:tcPr>
          <w:p w:rsidR="00022155" w:rsidRPr="007C7DD5" w:rsidP="00022155" w14:paraId="54518008" w14:textId="77777777">
            <w:pPr>
              <w:pStyle w:val="Bodytext2"/>
              <w:rPr>
                <w:lang w:val="en-GB"/>
              </w:rPr>
            </w:pPr>
          </w:p>
        </w:tc>
      </w:tr>
      <w:tr w14:paraId="21388E19" w14:textId="77777777" w:rsidTr="00022155">
        <w:tblPrEx>
          <w:tblW w:w="0" w:type="auto"/>
          <w:tblInd w:w="5" w:type="dxa"/>
          <w:tblLook w:val="04A0"/>
        </w:tblPrEx>
        <w:tc>
          <w:tcPr>
            <w:tcW w:w="7361" w:type="dxa"/>
            <w:tcBorders>
              <w:top w:val="single" w:sz="4" w:space="0" w:color="auto"/>
              <w:left w:val="nil"/>
              <w:bottom w:val="nil"/>
              <w:right w:val="nil"/>
            </w:tcBorders>
            <w:hideMark/>
          </w:tcPr>
          <w:p w:rsidR="00022155" w:rsidRPr="007C7DD5" w:rsidP="00022155" w14:paraId="6604BBFC" w14:textId="77777777">
            <w:pPr>
              <w:pStyle w:val="Bodytext2"/>
              <w:rPr>
                <w:lang w:val="en-GB"/>
              </w:rPr>
            </w:pPr>
            <w:r w:rsidRPr="007C7DD5">
              <w:rPr>
                <w:lang w:val="en-GB"/>
              </w:rPr>
              <w:t xml:space="preserve">Adjusted number of shares at the end of the </w:t>
            </w:r>
            <w:r w:rsidRPr="007C7DD5">
              <w:rPr>
                <w:lang w:val="en-GB"/>
              </w:rPr>
              <w:t>financial period</w:t>
            </w:r>
          </w:p>
        </w:tc>
        <w:tc>
          <w:tcPr>
            <w:tcW w:w="0" w:type="auto"/>
            <w:vMerge/>
            <w:vAlign w:val="center"/>
            <w:hideMark/>
          </w:tcPr>
          <w:p w:rsidR="00022155" w:rsidRPr="007C7DD5" w:rsidP="00022155" w14:paraId="5EACAB68" w14:textId="77777777">
            <w:pPr>
              <w:pStyle w:val="Bodytext2"/>
              <w:rPr>
                <w:lang w:val="en-GB"/>
              </w:rPr>
            </w:pPr>
          </w:p>
        </w:tc>
      </w:tr>
    </w:tbl>
    <w:p w:rsidR="007C7DD5" w:rsidP="00022155" w14:paraId="6246E699" w14:textId="77777777">
      <w:pPr>
        <w:pStyle w:val="Heading13"/>
      </w:pPr>
    </w:p>
    <w:p w:rsidR="00022155" w:rsidP="00022155" w14:paraId="2C3C057B" w14:textId="6ADAADB5">
      <w:pPr>
        <w:pStyle w:val="Heading13"/>
      </w:pPr>
      <w:r>
        <w:t>Dividend per earnings</w:t>
      </w:r>
    </w:p>
    <w:tbl>
      <w:tblPr>
        <w:tblStyle w:val="TableGrid0"/>
        <w:tblW w:w="0" w:type="auto"/>
        <w:tblInd w:w="5" w:type="dxa"/>
        <w:tblLook w:val="04A0"/>
      </w:tblPr>
      <w:tblGrid>
        <w:gridCol w:w="6799"/>
        <w:gridCol w:w="562"/>
      </w:tblGrid>
      <w:tr w14:paraId="7BBAEDDB" w14:textId="77777777" w:rsidTr="00022155">
        <w:tblPrEx>
          <w:tblW w:w="0" w:type="auto"/>
          <w:tblInd w:w="5" w:type="dxa"/>
          <w:tblLook w:val="04A0"/>
        </w:tblPrEx>
        <w:tc>
          <w:tcPr>
            <w:tcW w:w="6799" w:type="dxa"/>
            <w:tcBorders>
              <w:top w:val="nil"/>
              <w:left w:val="nil"/>
              <w:bottom w:val="single" w:sz="4" w:space="0" w:color="auto"/>
              <w:right w:val="nil"/>
            </w:tcBorders>
            <w:hideMark/>
          </w:tcPr>
          <w:p w:rsidR="00022155" w:rsidP="00022155" w14:paraId="15AB0B4A" w14:textId="77777777">
            <w:pPr>
              <w:pStyle w:val="Bodytext2"/>
            </w:pPr>
            <w:r>
              <w:t>Dividend per share</w:t>
            </w:r>
          </w:p>
        </w:tc>
        <w:tc>
          <w:tcPr>
            <w:tcW w:w="562" w:type="dxa"/>
            <w:vMerge w:val="restart"/>
            <w:vAlign w:val="center"/>
            <w:hideMark/>
          </w:tcPr>
          <w:p w:rsidR="00022155" w:rsidP="00022155" w14:paraId="5DDCD3EC" w14:textId="77777777">
            <w:pPr>
              <w:pStyle w:val="Bodytext2"/>
            </w:pPr>
            <w:r>
              <w:t xml:space="preserve">   x 100</w:t>
            </w:r>
          </w:p>
        </w:tc>
      </w:tr>
      <w:tr w14:paraId="36B51594" w14:textId="77777777" w:rsidTr="00022155">
        <w:tblPrEx>
          <w:tblW w:w="0" w:type="auto"/>
          <w:tblInd w:w="5" w:type="dxa"/>
          <w:tblLook w:val="04A0"/>
        </w:tblPrEx>
        <w:tc>
          <w:tcPr>
            <w:tcW w:w="6799" w:type="dxa"/>
            <w:tcBorders>
              <w:top w:val="single" w:sz="4" w:space="0" w:color="auto"/>
              <w:left w:val="nil"/>
              <w:bottom w:val="nil"/>
              <w:right w:val="nil"/>
            </w:tcBorders>
            <w:hideMark/>
          </w:tcPr>
          <w:p w:rsidR="00022155" w:rsidRPr="007C7DD5" w:rsidP="00022155" w14:paraId="4D43E4B1" w14:textId="77777777">
            <w:pPr>
              <w:pStyle w:val="Bodytext2"/>
              <w:rPr>
                <w:lang w:val="en-GB"/>
              </w:rPr>
            </w:pPr>
            <w:r w:rsidRPr="007C7DD5">
              <w:rPr>
                <w:lang w:val="en-GB"/>
              </w:rPr>
              <w:t>Earnings per share (EPS), basic and diluted</w:t>
            </w:r>
          </w:p>
        </w:tc>
        <w:tc>
          <w:tcPr>
            <w:tcW w:w="0" w:type="auto"/>
            <w:vMerge/>
            <w:vAlign w:val="center"/>
            <w:hideMark/>
          </w:tcPr>
          <w:p w:rsidR="00022155" w:rsidRPr="007C7DD5" w:rsidP="00022155" w14:paraId="40A93723" w14:textId="77777777">
            <w:pPr>
              <w:pStyle w:val="Bodytext2"/>
              <w:rPr>
                <w:lang w:val="en-GB"/>
              </w:rPr>
            </w:pPr>
          </w:p>
        </w:tc>
      </w:tr>
    </w:tbl>
    <w:p w:rsidR="00022155" w:rsidRPr="00974ADA" w:rsidP="00974ADA" w14:paraId="5C099CC4" w14:textId="77777777">
      <w:pPr>
        <w:pStyle w:val="Bodytext2"/>
      </w:pPr>
    </w:p>
    <w:p w:rsidR="00022155" w:rsidP="00022155" w14:paraId="77CFE869" w14:textId="77777777">
      <w:pPr>
        <w:pStyle w:val="Heading13"/>
      </w:pPr>
      <w:r>
        <w:t>Effective dividend yield</w:t>
      </w:r>
    </w:p>
    <w:tbl>
      <w:tblPr>
        <w:tblStyle w:val="TableGrid0"/>
        <w:tblW w:w="0" w:type="auto"/>
        <w:tblInd w:w="5" w:type="dxa"/>
        <w:tblLook w:val="04A0"/>
      </w:tblPr>
      <w:tblGrid>
        <w:gridCol w:w="6799"/>
        <w:gridCol w:w="562"/>
      </w:tblGrid>
      <w:tr w14:paraId="78AB45E2" w14:textId="77777777" w:rsidTr="00022155">
        <w:tblPrEx>
          <w:tblW w:w="0" w:type="auto"/>
          <w:tblInd w:w="5" w:type="dxa"/>
          <w:tblLook w:val="04A0"/>
        </w:tblPrEx>
        <w:tc>
          <w:tcPr>
            <w:tcW w:w="6799" w:type="dxa"/>
            <w:tcBorders>
              <w:top w:val="nil"/>
              <w:left w:val="nil"/>
              <w:bottom w:val="single" w:sz="4" w:space="0" w:color="auto"/>
              <w:right w:val="nil"/>
            </w:tcBorders>
            <w:hideMark/>
          </w:tcPr>
          <w:p w:rsidR="00022155" w:rsidP="00022155" w14:paraId="7E1402D8" w14:textId="77777777">
            <w:pPr>
              <w:pStyle w:val="Bodytext2"/>
            </w:pPr>
            <w:r>
              <w:t>Dividend per share</w:t>
            </w:r>
          </w:p>
        </w:tc>
        <w:tc>
          <w:tcPr>
            <w:tcW w:w="562" w:type="dxa"/>
            <w:vMerge w:val="restart"/>
            <w:vAlign w:val="center"/>
            <w:hideMark/>
          </w:tcPr>
          <w:p w:rsidR="00022155" w:rsidP="00022155" w14:paraId="60BE1EAA" w14:textId="77777777">
            <w:pPr>
              <w:pStyle w:val="Bodytext2"/>
            </w:pPr>
            <w:r>
              <w:t xml:space="preserve">   x 100</w:t>
            </w:r>
          </w:p>
        </w:tc>
      </w:tr>
      <w:tr w14:paraId="38890496" w14:textId="77777777" w:rsidTr="00022155">
        <w:tblPrEx>
          <w:tblW w:w="0" w:type="auto"/>
          <w:tblInd w:w="5" w:type="dxa"/>
          <w:tblLook w:val="04A0"/>
        </w:tblPrEx>
        <w:tc>
          <w:tcPr>
            <w:tcW w:w="6799" w:type="dxa"/>
            <w:tcBorders>
              <w:top w:val="single" w:sz="4" w:space="0" w:color="auto"/>
              <w:left w:val="nil"/>
              <w:bottom w:val="nil"/>
              <w:right w:val="nil"/>
            </w:tcBorders>
            <w:hideMark/>
          </w:tcPr>
          <w:p w:rsidR="00022155" w:rsidRPr="007C7DD5" w:rsidP="00022155" w14:paraId="5DA4DF0B" w14:textId="77777777">
            <w:pPr>
              <w:pStyle w:val="Bodytext2"/>
              <w:rPr>
                <w:lang w:val="en-GB"/>
              </w:rPr>
            </w:pPr>
            <w:r w:rsidRPr="007C7DD5">
              <w:rPr>
                <w:lang w:val="en-GB"/>
              </w:rPr>
              <w:t>Adjusted share price at the end of the financial period</w:t>
            </w:r>
          </w:p>
        </w:tc>
        <w:tc>
          <w:tcPr>
            <w:tcW w:w="0" w:type="auto"/>
            <w:vMerge/>
            <w:vAlign w:val="center"/>
            <w:hideMark/>
          </w:tcPr>
          <w:p w:rsidR="00022155" w:rsidRPr="007C7DD5" w:rsidP="00022155" w14:paraId="190D9139" w14:textId="77777777">
            <w:pPr>
              <w:pStyle w:val="Bodytext2"/>
              <w:rPr>
                <w:lang w:val="en-GB"/>
              </w:rPr>
            </w:pPr>
          </w:p>
        </w:tc>
      </w:tr>
    </w:tbl>
    <w:p w:rsidR="00567A42" w:rsidRPr="00567A42" w:rsidP="00022155" w14:paraId="4B600EAD" w14:textId="5B843254">
      <w:pPr>
        <w:pStyle w:val="Heading13"/>
        <w:rPr>
          <w:sz w:val="2"/>
          <w:szCs w:val="2"/>
        </w:rPr>
      </w:pPr>
      <w:r>
        <w:br w:type="column"/>
      </w:r>
    </w:p>
    <w:p w:rsidR="00022155" w:rsidP="00022155" w14:paraId="394620B6" w14:textId="1D045C92">
      <w:pPr>
        <w:pStyle w:val="Heading13"/>
      </w:pPr>
      <w:r>
        <w:t>Price/earnings (P/E)</w:t>
      </w:r>
    </w:p>
    <w:tbl>
      <w:tblPr>
        <w:tblStyle w:val="TableGrid0"/>
        <w:tblW w:w="0" w:type="auto"/>
        <w:tblInd w:w="5" w:type="dxa"/>
        <w:tblLook w:val="04A0"/>
      </w:tblPr>
      <w:tblGrid>
        <w:gridCol w:w="7345"/>
        <w:gridCol w:w="20"/>
      </w:tblGrid>
      <w:tr w14:paraId="6930CCCC" w14:textId="77777777" w:rsidTr="00022155">
        <w:tblPrEx>
          <w:tblW w:w="0" w:type="auto"/>
          <w:tblInd w:w="5" w:type="dxa"/>
          <w:tblLook w:val="04A0"/>
        </w:tblPrEx>
        <w:tc>
          <w:tcPr>
            <w:tcW w:w="7361" w:type="dxa"/>
            <w:tcBorders>
              <w:top w:val="nil"/>
              <w:left w:val="nil"/>
              <w:bottom w:val="single" w:sz="4" w:space="0" w:color="auto"/>
              <w:right w:val="nil"/>
            </w:tcBorders>
            <w:hideMark/>
          </w:tcPr>
          <w:p w:rsidR="00022155" w:rsidRPr="007C7DD5" w:rsidP="00022155" w14:paraId="5261C041" w14:textId="77777777">
            <w:pPr>
              <w:pStyle w:val="Bodytext2"/>
              <w:rPr>
                <w:lang w:val="en-GB"/>
              </w:rPr>
            </w:pPr>
            <w:r w:rsidRPr="007C7DD5">
              <w:rPr>
                <w:lang w:val="en-GB"/>
              </w:rPr>
              <w:t>Adjusted share price at the end of the financial period</w:t>
            </w:r>
          </w:p>
        </w:tc>
        <w:tc>
          <w:tcPr>
            <w:tcW w:w="20" w:type="dxa"/>
            <w:vMerge w:val="restart"/>
            <w:vAlign w:val="center"/>
          </w:tcPr>
          <w:p w:rsidR="00022155" w:rsidRPr="007C7DD5" w:rsidP="00022155" w14:paraId="0B196B29" w14:textId="77777777">
            <w:pPr>
              <w:pStyle w:val="Bodytext2"/>
              <w:rPr>
                <w:lang w:val="en-GB"/>
              </w:rPr>
            </w:pPr>
          </w:p>
        </w:tc>
      </w:tr>
      <w:tr w14:paraId="39F1A273" w14:textId="77777777" w:rsidTr="00022155">
        <w:tblPrEx>
          <w:tblW w:w="0" w:type="auto"/>
          <w:tblInd w:w="5" w:type="dxa"/>
          <w:tblLook w:val="04A0"/>
        </w:tblPrEx>
        <w:tc>
          <w:tcPr>
            <w:tcW w:w="7361" w:type="dxa"/>
            <w:tcBorders>
              <w:top w:val="single" w:sz="4" w:space="0" w:color="auto"/>
              <w:left w:val="nil"/>
              <w:bottom w:val="nil"/>
              <w:right w:val="nil"/>
            </w:tcBorders>
            <w:hideMark/>
          </w:tcPr>
          <w:p w:rsidR="00022155" w:rsidRPr="007C7DD5" w:rsidP="00022155" w14:paraId="102DA433" w14:textId="77777777">
            <w:pPr>
              <w:pStyle w:val="Bodytext2"/>
              <w:rPr>
                <w:lang w:val="en-GB"/>
              </w:rPr>
            </w:pPr>
            <w:r w:rsidRPr="007C7DD5">
              <w:rPr>
                <w:lang w:val="en-GB"/>
              </w:rPr>
              <w:t>Earnings per share (EPS), basic and diluted</w:t>
            </w:r>
          </w:p>
        </w:tc>
        <w:tc>
          <w:tcPr>
            <w:tcW w:w="0" w:type="auto"/>
            <w:vMerge/>
            <w:vAlign w:val="center"/>
            <w:hideMark/>
          </w:tcPr>
          <w:p w:rsidR="00022155" w:rsidRPr="007C7DD5" w:rsidP="00022155" w14:paraId="4200F632" w14:textId="77777777">
            <w:pPr>
              <w:pStyle w:val="Bodytext2"/>
              <w:rPr>
                <w:lang w:val="en-GB"/>
              </w:rPr>
            </w:pPr>
          </w:p>
        </w:tc>
      </w:tr>
    </w:tbl>
    <w:p w:rsidR="00022155" w:rsidRPr="00974ADA" w:rsidP="00974ADA" w14:paraId="05F1D7CB" w14:textId="77777777">
      <w:pPr>
        <w:pStyle w:val="Bodytext2"/>
      </w:pPr>
    </w:p>
    <w:p w:rsidR="00022155" w:rsidP="00022155" w14:paraId="29F03B33" w14:textId="77777777">
      <w:pPr>
        <w:pStyle w:val="Heading13"/>
      </w:pPr>
      <w:r>
        <w:t>Price/carrying amount per share (P/BV)</w:t>
      </w:r>
    </w:p>
    <w:tbl>
      <w:tblPr>
        <w:tblStyle w:val="TableGrid0"/>
        <w:tblW w:w="0" w:type="auto"/>
        <w:tblInd w:w="5" w:type="dxa"/>
        <w:tblLook w:val="04A0"/>
      </w:tblPr>
      <w:tblGrid>
        <w:gridCol w:w="7345"/>
        <w:gridCol w:w="20"/>
      </w:tblGrid>
      <w:tr w14:paraId="2935F95A" w14:textId="77777777" w:rsidTr="00022155">
        <w:tblPrEx>
          <w:tblW w:w="0" w:type="auto"/>
          <w:tblInd w:w="5" w:type="dxa"/>
          <w:tblLook w:val="04A0"/>
        </w:tblPrEx>
        <w:tc>
          <w:tcPr>
            <w:tcW w:w="7361" w:type="dxa"/>
            <w:tcBorders>
              <w:top w:val="nil"/>
              <w:left w:val="nil"/>
              <w:bottom w:val="single" w:sz="4" w:space="0" w:color="auto"/>
              <w:right w:val="nil"/>
            </w:tcBorders>
            <w:hideMark/>
          </w:tcPr>
          <w:p w:rsidR="00022155" w:rsidRPr="007C7DD5" w:rsidP="00022155" w14:paraId="001BCCB4" w14:textId="77777777">
            <w:pPr>
              <w:pStyle w:val="Bodytext2"/>
              <w:rPr>
                <w:lang w:val="en-GB"/>
              </w:rPr>
            </w:pPr>
            <w:r w:rsidRPr="007C7DD5">
              <w:rPr>
                <w:lang w:val="en-GB"/>
              </w:rPr>
              <w:t>Adjusted share price at the end of the financial period</w:t>
            </w:r>
          </w:p>
        </w:tc>
        <w:tc>
          <w:tcPr>
            <w:tcW w:w="20" w:type="dxa"/>
            <w:vMerge w:val="restart"/>
            <w:vAlign w:val="center"/>
          </w:tcPr>
          <w:p w:rsidR="00022155" w:rsidRPr="007C7DD5" w:rsidP="00022155" w14:paraId="4588B935" w14:textId="77777777">
            <w:pPr>
              <w:pStyle w:val="Bodytext2"/>
              <w:rPr>
                <w:lang w:val="en-GB"/>
              </w:rPr>
            </w:pPr>
          </w:p>
        </w:tc>
      </w:tr>
      <w:tr w14:paraId="141134D5" w14:textId="77777777" w:rsidTr="00022155">
        <w:tblPrEx>
          <w:tblW w:w="0" w:type="auto"/>
          <w:tblInd w:w="5" w:type="dxa"/>
          <w:tblLook w:val="04A0"/>
        </w:tblPrEx>
        <w:tc>
          <w:tcPr>
            <w:tcW w:w="7361" w:type="dxa"/>
            <w:tcBorders>
              <w:top w:val="single" w:sz="4" w:space="0" w:color="auto"/>
              <w:left w:val="nil"/>
              <w:bottom w:val="nil"/>
              <w:right w:val="nil"/>
            </w:tcBorders>
            <w:hideMark/>
          </w:tcPr>
          <w:p w:rsidR="00022155" w:rsidP="00022155" w14:paraId="16ABC46B" w14:textId="77777777">
            <w:pPr>
              <w:pStyle w:val="Bodytext2"/>
            </w:pPr>
            <w:r>
              <w:t>Equity per share</w:t>
            </w:r>
          </w:p>
        </w:tc>
        <w:tc>
          <w:tcPr>
            <w:tcW w:w="0" w:type="auto"/>
            <w:vMerge/>
            <w:vAlign w:val="center"/>
            <w:hideMark/>
          </w:tcPr>
          <w:p w:rsidR="00022155" w:rsidP="00022155" w14:paraId="569B04BA" w14:textId="77777777">
            <w:pPr>
              <w:pStyle w:val="Bodytext2"/>
            </w:pPr>
          </w:p>
        </w:tc>
      </w:tr>
    </w:tbl>
    <w:p w:rsidR="00022155" w:rsidRPr="00BA14A7" w:rsidP="00022155" w14:paraId="73247A03" w14:textId="6F81E0F4">
      <w:pPr>
        <w:pStyle w:val="Bodytext2"/>
        <w:rPr>
          <w:sz w:val="2"/>
          <w:szCs w:val="2"/>
        </w:rPr>
      </w:pPr>
      <w:r>
        <w:br w:type="page"/>
      </w:r>
    </w:p>
    <w:p w:rsidR="00022155" w:rsidRPr="00B25906" w:rsidP="00022155" w14:paraId="649FDD96" w14:textId="77777777">
      <w:pPr>
        <w:pStyle w:val="Bodytext2"/>
        <w:rPr>
          <w:rFonts w:asciiTheme="minorHAnsi" w:hAnsiTheme="minorHAnsi" w:cstheme="minorHAnsi"/>
          <w:sz w:val="2"/>
          <w:szCs w:val="2"/>
          <w:lang w:eastAsia="fi-FI"/>
        </w:rPr>
      </w:pPr>
      <w:r>
        <w:t xml:space="preserve"> </w:t>
      </w:r>
    </w:p>
    <w:p w:rsidR="008F0E88" w:rsidRPr="008F0E88" w:rsidP="008F0E88" w14:paraId="12CF31FB" w14:textId="77777777">
      <w:pPr>
        <w:pStyle w:val="Heading10"/>
      </w:pPr>
      <w:bookmarkStart w:id="55" w:name="RG_MARKER_4196"/>
      <w:bookmarkStart w:id="56" w:name="RG_MARKER_4053"/>
      <w:bookmarkStart w:id="57" w:name="RG_MARKER_1765"/>
      <w:r w:rsidRPr="008F0E88">
        <w:t>FINANCIAL STATEMENTS</w:t>
      </w:r>
      <w:bookmarkEnd w:id="57"/>
      <w:bookmarkEnd w:id="56"/>
      <w:bookmarkEnd w:id="55"/>
    </w:p>
    <w:p w:rsidR="008F0E88" w:rsidRPr="008F0E88" w:rsidP="008F0E88" w14:paraId="4052A09E" w14:textId="77777777">
      <w:pPr>
        <w:pStyle w:val="Heading10"/>
      </w:pPr>
      <w:r w:rsidRPr="008F0E88">
        <w:t>CONSOLIDATED FINANCIAL STATEMENTS</w:t>
      </w:r>
    </w:p>
    <w:p w:rsidR="008F0E88" w:rsidRPr="00D50EA2" w:rsidP="00D50EA2" w14:paraId="2E790346" w14:textId="3E37D109">
      <w:pPr>
        <w:pStyle w:val="Heading10"/>
      </w:pPr>
      <w:r w:rsidRPr="008F0E88">
        <w:t>CONSOLIDATED STATEMENT OF INCOME</w:t>
      </w:r>
    </w:p>
    <w:p/>
    <w:tbl>
      <w:tblPr>
        <w:tblStyle w:val="CDMRange1"/>
        <w:tblW w:w="7365" w:type="dxa"/>
        <w:tblLayout w:type="fixed"/>
        <w:tblLook w:val="0600"/>
      </w:tblPr>
      <w:tblGrid>
        <w:gridCol w:w="3885"/>
        <w:gridCol w:w="1200"/>
        <w:gridCol w:w="1200"/>
        <w:gridCol w:w="1080"/>
      </w:tblGrid>
      <w:tr>
        <w:tblPrEx>
          <w:tblW w:w="7365" w:type="dxa"/>
          <w:tblLayout w:type="fixed"/>
          <w:tblLook w:val="0600"/>
        </w:tblPrEx>
        <w:trPr>
          <w:trHeight w:hRule="exact" w:val="240"/>
        </w:trPr>
        <w:tc>
          <w:tcPr>
            <w:tcW w:w="38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0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0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Note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Net sales</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8" w:name="XBRL_CS_c4199389c7e2413d995ae462624ad815"/>
            <w:bookmarkEnd w:id="58"/>
            <w:bookmarkStart w:id="59" w:name="c4199389c7e2413d995ae462624ad815"/>
            <w:r>
              <w:rPr>
                <w:rFonts w:ascii="Arial" w:eastAsia="Arial" w:hAnsi="Arial" w:cs="Arial"/>
                <w:b/>
                <w:i w:val="0"/>
                <w:strike w:val="0"/>
                <w:color w:val="000000"/>
                <w:sz w:val="13"/>
                <w:u w:val="none"/>
                <w:vertAlign w:val="baseline"/>
              </w:rPr>
              <w:t>4,604</w:t>
            </w:r>
            <w:bookmarkStart w:id="60" w:name="XBRL_CE_c4199389c7e2413d995ae462624ad815"/>
            <w:bookmarkEnd w:id="59"/>
            <w:bookmarkEnd w:id="60"/>
          </w:p>
        </w:tc>
        <w:tc>
          <w:tcPr>
            <w:tcW w:w="120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1" w:name="XBRL_CS_cee7b72b1eb247698ac05a63e0a0027e"/>
            <w:bookmarkEnd w:id="61"/>
            <w:bookmarkStart w:id="62" w:name="cee7b72b1eb247698ac05a63e0a0027e"/>
            <w:bookmarkStart w:id="63" w:name="XBRL_CS_863833b2775041259573c2a99fbfab36"/>
            <w:bookmarkEnd w:id="63"/>
            <w:bookmarkStart w:id="64" w:name="863833b2775041259573c2a99fbfab36"/>
            <w:r>
              <w:rPr>
                <w:rFonts w:ascii="Arial" w:eastAsia="Arial" w:hAnsi="Arial" w:cs="Arial"/>
                <w:b w:val="0"/>
                <w:i w:val="0"/>
                <w:strike w:val="0"/>
                <w:color w:val="000000"/>
                <w:sz w:val="13"/>
                <w:u w:val="none"/>
                <w:vertAlign w:val="baseline"/>
              </w:rPr>
              <w:t>5,170</w:t>
            </w:r>
            <w:bookmarkStart w:id="65" w:name="XBRL_CE_863833b2775041259573c2a99fbfab36"/>
            <w:bookmarkEnd w:id="64"/>
            <w:bookmarkEnd w:id="65"/>
            <w:bookmarkStart w:id="66" w:name="XBRL_CE_cee7b72b1eb247698ac05a63e0a0027e"/>
            <w:bookmarkEnd w:id="62"/>
            <w:bookmarkEnd w:id="66"/>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2.1., 2.2.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 in inventories of finished goods &amp; work in progress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7" w:name="XBRL_CS_26eef657ea61405ebc1d76ccac498b98"/>
            <w:bookmarkEnd w:id="67"/>
            <w:bookmarkStart w:id="68" w:name="26eef657ea61405ebc1d76ccac498b98"/>
            <w:r>
              <w:rPr>
                <w:rFonts w:ascii="Arial" w:eastAsia="Arial" w:hAnsi="Arial" w:cs="Arial"/>
                <w:b/>
                <w:i w:val="0"/>
                <w:strike w:val="0"/>
                <w:color w:val="000000"/>
                <w:sz w:val="13"/>
                <w:u w:val="none"/>
                <w:vertAlign w:val="baseline"/>
              </w:rPr>
              <w:t>-104</w:t>
            </w:r>
            <w:bookmarkStart w:id="69" w:name="XBRL_CE_26eef657ea61405ebc1d76ccac498b98"/>
            <w:bookmarkEnd w:id="68"/>
            <w:bookmarkEnd w:id="69"/>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0" w:name="XBRL_CS_4bc994f5ef0645bcbd2ce0420310fd1b"/>
            <w:bookmarkEnd w:id="70"/>
            <w:bookmarkStart w:id="71" w:name="4bc994f5ef0645bcbd2ce0420310fd1b"/>
            <w:r>
              <w:rPr>
                <w:rFonts w:ascii="Arial" w:eastAsia="Arial" w:hAnsi="Arial" w:cs="Arial"/>
                <w:b w:val="0"/>
                <w:i w:val="0"/>
                <w:strike w:val="0"/>
                <w:color w:val="000000"/>
                <w:sz w:val="13"/>
                <w:u w:val="none"/>
                <w:vertAlign w:val="baseline"/>
              </w:rPr>
              <w:t>137</w:t>
            </w:r>
            <w:bookmarkStart w:id="72" w:name="XBRL_CE_4bc994f5ef0645bcbd2ce0420310fd1b"/>
            <w:bookmarkEnd w:id="71"/>
            <w:bookmarkEnd w:id="72"/>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Work performed by the Group and capitalised</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3" w:name="XBRL_CS_cc113566dca644ff9f4e1069a2cc558f"/>
            <w:bookmarkEnd w:id="73"/>
            <w:bookmarkStart w:id="74" w:name="cc113566dca644ff9f4e1069a2cc558f"/>
            <w:r>
              <w:rPr>
                <w:rFonts w:ascii="Arial" w:eastAsia="Arial" w:hAnsi="Arial" w:cs="Arial"/>
                <w:b/>
                <w:i w:val="0"/>
                <w:strike w:val="0"/>
                <w:color w:val="000000"/>
                <w:sz w:val="13"/>
                <w:u w:val="none"/>
                <w:vertAlign w:val="baseline"/>
              </w:rPr>
              <w:t>19</w:t>
            </w:r>
            <w:bookmarkStart w:id="75" w:name="XBRL_CE_cc113566dca644ff9f4e1069a2cc558f"/>
            <w:bookmarkEnd w:id="74"/>
            <w:bookmarkEnd w:id="75"/>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6" w:name="XBRL_CS_85f8194a3edb410b8a894df0ac03d1d7"/>
            <w:bookmarkEnd w:id="76"/>
            <w:bookmarkStart w:id="77" w:name="85f8194a3edb410b8a894df0ac03d1d7"/>
            <w:r>
              <w:rPr>
                <w:rFonts w:ascii="Arial" w:eastAsia="Arial" w:hAnsi="Arial" w:cs="Arial"/>
                <w:b w:val="0"/>
                <w:i w:val="0"/>
                <w:strike w:val="0"/>
                <w:color w:val="000000"/>
                <w:sz w:val="13"/>
                <w:u w:val="none"/>
                <w:vertAlign w:val="baseline"/>
              </w:rPr>
              <w:t>18</w:t>
            </w:r>
            <w:bookmarkStart w:id="78" w:name="XBRL_CE_85f8194a3edb410b8a894df0ac03d1d7"/>
            <w:bookmarkEnd w:id="77"/>
            <w:bookmarkEnd w:id="78"/>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operating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9" w:name="XBRL_CS_b878c913da8342a985128f6ab8f42a69"/>
            <w:bookmarkEnd w:id="79"/>
            <w:bookmarkStart w:id="80" w:name="b878c913da8342a985128f6ab8f42a69"/>
            <w:r>
              <w:rPr>
                <w:rFonts w:ascii="Arial" w:eastAsia="Arial" w:hAnsi="Arial" w:cs="Arial"/>
                <w:b/>
                <w:i w:val="0"/>
                <w:strike w:val="0"/>
                <w:color w:val="000000"/>
                <w:sz w:val="13"/>
                <w:u w:val="none"/>
                <w:vertAlign w:val="baseline"/>
              </w:rPr>
              <w:t>61</w:t>
            </w:r>
            <w:bookmarkStart w:id="81" w:name="XBRL_CE_b878c913da8342a985128f6ab8f42a69"/>
            <w:bookmarkEnd w:id="80"/>
            <w:bookmarkEnd w:id="81"/>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2" w:name="XBRL_CS_49d382677b2f43cebd315eeb1ece7b0f"/>
            <w:bookmarkEnd w:id="82"/>
            <w:bookmarkStart w:id="83" w:name="49d382677b2f43cebd315eeb1ece7b0f"/>
            <w:r>
              <w:rPr>
                <w:rFonts w:ascii="Arial" w:eastAsia="Arial" w:hAnsi="Arial" w:cs="Arial"/>
                <w:b w:val="0"/>
                <w:i w:val="0"/>
                <w:strike w:val="0"/>
                <w:color w:val="000000"/>
                <w:sz w:val="13"/>
                <w:u w:val="none"/>
                <w:vertAlign w:val="baseline"/>
              </w:rPr>
              <w:t>67</w:t>
            </w:r>
            <w:bookmarkStart w:id="84" w:name="XBRL_CE_49d382677b2f43cebd315eeb1ece7b0f"/>
            <w:bookmarkEnd w:id="83"/>
            <w:bookmarkEnd w:id="84"/>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Material and services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85" w:name="XBRL_CS_7f52ddd141f64b9bb551a3604c607344"/>
            <w:bookmarkEnd w:id="85"/>
            <w:bookmarkStart w:id="86" w:name="7f52ddd141f64b9bb551a3604c607344"/>
            <w:r>
              <w:rPr>
                <w:rFonts w:ascii="Arial" w:eastAsia="Arial" w:hAnsi="Arial" w:cs="Arial"/>
                <w:b/>
                <w:i w:val="0"/>
                <w:strike w:val="0"/>
                <w:color w:val="000000"/>
                <w:sz w:val="13"/>
                <w:u w:val="none"/>
                <w:vertAlign w:val="baseline"/>
              </w:rPr>
              <w:t>-2,551</w:t>
            </w:r>
            <w:bookmarkStart w:id="87" w:name="XBRL_CE_7f52ddd141f64b9bb551a3604c607344"/>
            <w:bookmarkEnd w:id="86"/>
            <w:bookmarkEnd w:id="87"/>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8" w:name="XBRL_CS_7a87ba7df894447799a79a4f9eba5c70"/>
            <w:bookmarkEnd w:id="88"/>
            <w:bookmarkStart w:id="89" w:name="7a87ba7df894447799a79a4f9eba5c70"/>
            <w:r>
              <w:rPr>
                <w:rFonts w:ascii="Arial" w:eastAsia="Arial" w:hAnsi="Arial" w:cs="Arial"/>
                <w:b w:val="0"/>
                <w:i w:val="0"/>
                <w:strike w:val="0"/>
                <w:color w:val="000000"/>
                <w:sz w:val="13"/>
                <w:u w:val="none"/>
                <w:vertAlign w:val="baseline"/>
              </w:rPr>
              <w:t>-3,003</w:t>
            </w:r>
            <w:bookmarkStart w:id="90" w:name="XBRL_CE_7a87ba7df894447799a79a4f9eba5c70"/>
            <w:bookmarkEnd w:id="89"/>
            <w:bookmarkEnd w:id="90"/>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Employee benefit expenses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1" w:name="XBRL_CS_d728b76871164e67b9f00e3dde88a9fd"/>
            <w:bookmarkEnd w:id="91"/>
            <w:bookmarkStart w:id="92" w:name="d728b76871164e67b9f00e3dde88a9fd"/>
            <w:r>
              <w:rPr>
                <w:rFonts w:ascii="Arial" w:eastAsia="Arial" w:hAnsi="Arial" w:cs="Arial"/>
                <w:b/>
                <w:i w:val="0"/>
                <w:strike w:val="0"/>
                <w:color w:val="000000"/>
                <w:sz w:val="13"/>
                <w:u w:val="none"/>
                <w:vertAlign w:val="baseline"/>
              </w:rPr>
              <w:t>-1,192</w:t>
            </w:r>
            <w:bookmarkStart w:id="93" w:name="XBRL_CE_d728b76871164e67b9f00e3dde88a9fd"/>
            <w:bookmarkEnd w:id="92"/>
            <w:bookmarkEnd w:id="93"/>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4" w:name="XBRL_CS_47c6b1ff7126441ab9d9ca442e9e87b7"/>
            <w:bookmarkEnd w:id="94"/>
            <w:bookmarkStart w:id="95" w:name="47c6b1ff7126441ab9d9ca442e9e87b7"/>
            <w:r>
              <w:rPr>
                <w:rFonts w:ascii="Arial" w:eastAsia="Arial" w:hAnsi="Arial" w:cs="Arial"/>
                <w:b w:val="0"/>
                <w:i w:val="0"/>
                <w:strike w:val="0"/>
                <w:color w:val="000000"/>
                <w:sz w:val="13"/>
                <w:u w:val="none"/>
                <w:vertAlign w:val="baseline"/>
              </w:rPr>
              <w:t>-1,260</w:t>
            </w:r>
            <w:bookmarkStart w:id="96" w:name="XBRL_CE_47c6b1ff7126441ab9d9ca442e9e87b7"/>
            <w:bookmarkEnd w:id="95"/>
            <w:bookmarkEnd w:id="96"/>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Result from net position hedges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7" w:name="XBRL_CS_c7c9070d4ec34a08902b97c029fd5990"/>
            <w:bookmarkEnd w:id="97"/>
            <w:bookmarkStart w:id="98" w:name="c7c9070d4ec34a08902b97c029fd5990"/>
            <w:r>
              <w:rPr>
                <w:rFonts w:ascii="Arial" w:eastAsia="Arial" w:hAnsi="Arial" w:cs="Arial"/>
                <w:b/>
                <w:i w:val="0"/>
                <w:strike w:val="0"/>
                <w:color w:val="000000"/>
                <w:sz w:val="13"/>
                <w:u w:val="none"/>
                <w:vertAlign w:val="baseline"/>
              </w:rPr>
              <w:t>-1</w:t>
            </w:r>
            <w:bookmarkStart w:id="99" w:name="XBRL_CE_c7c9070d4ec34a08902b97c029fd5990"/>
            <w:bookmarkEnd w:id="98"/>
            <w:bookmarkEnd w:id="99"/>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amortisation and impairment</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0" w:name="XBRL_CS_33cd3af9cb724d3f8752b6b39e8cdac1"/>
            <w:bookmarkEnd w:id="100"/>
            <w:bookmarkStart w:id="101" w:name="33cd3af9cb724d3f8752b6b39e8cdac1"/>
            <w:r>
              <w:rPr>
                <w:rFonts w:ascii="Arial" w:eastAsia="Arial" w:hAnsi="Arial" w:cs="Arial"/>
                <w:b/>
                <w:i w:val="0"/>
                <w:strike w:val="0"/>
                <w:color w:val="000000"/>
                <w:sz w:val="13"/>
                <w:u w:val="none"/>
                <w:vertAlign w:val="baseline"/>
              </w:rPr>
              <w:t>-174</w:t>
            </w:r>
            <w:bookmarkStart w:id="102" w:name="XBRL_CE_33cd3af9cb724d3f8752b6b39e8cdac1"/>
            <w:bookmarkEnd w:id="101"/>
            <w:bookmarkEnd w:id="102"/>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03" w:name="XBRL_CS_cdb0c4a6f63c4ce78fc97664606ca38b"/>
            <w:bookmarkEnd w:id="103"/>
            <w:bookmarkStart w:id="104" w:name="cdb0c4a6f63c4ce78fc97664606ca38b"/>
            <w:r>
              <w:rPr>
                <w:rFonts w:ascii="Arial" w:eastAsia="Arial" w:hAnsi="Arial" w:cs="Arial"/>
                <w:b w:val="0"/>
                <w:i w:val="0"/>
                <w:strike w:val="0"/>
                <w:color w:val="000000"/>
                <w:sz w:val="13"/>
                <w:u w:val="none"/>
                <w:vertAlign w:val="baseline"/>
              </w:rPr>
              <w:t>-180</w:t>
            </w:r>
            <w:bookmarkStart w:id="105" w:name="XBRL_CE_cdb0c4a6f63c4ce78fc97664606ca38b"/>
            <w:bookmarkEnd w:id="104"/>
            <w:bookmarkEnd w:id="105"/>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3.5.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operating expenses</w:t>
            </w:r>
          </w:p>
        </w:tc>
        <w:tc>
          <w:tcPr>
            <w:tcW w:w="120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6" w:name="XBRL_CS_2b2af4caf0f9446c8f4f5efe332b479e"/>
            <w:bookmarkEnd w:id="106"/>
            <w:bookmarkStart w:id="107" w:name="2b2af4caf0f9446c8f4f5efe332b479e"/>
            <w:r>
              <w:rPr>
                <w:rFonts w:ascii="Arial" w:eastAsia="Arial" w:hAnsi="Arial" w:cs="Arial"/>
                <w:b/>
                <w:i w:val="0"/>
                <w:strike w:val="0"/>
                <w:color w:val="000000"/>
                <w:sz w:val="13"/>
                <w:u w:val="none"/>
                <w:vertAlign w:val="baseline"/>
              </w:rPr>
              <w:t>-431</w:t>
            </w:r>
            <w:bookmarkStart w:id="108" w:name="XBRL_CE_2b2af4caf0f9446c8f4f5efe332b479e"/>
            <w:bookmarkEnd w:id="107"/>
            <w:bookmarkEnd w:id="108"/>
          </w:p>
        </w:tc>
        <w:tc>
          <w:tcPr>
            <w:tcW w:w="120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09" w:name="XBRL_CS_cf793b614c7e41c1a1c03534a4e119e8"/>
            <w:bookmarkEnd w:id="109"/>
            <w:bookmarkStart w:id="110" w:name="cf793b614c7e41c1a1c03534a4e119e8"/>
            <w:r>
              <w:rPr>
                <w:rFonts w:ascii="Arial" w:eastAsia="Arial" w:hAnsi="Arial" w:cs="Arial"/>
                <w:b w:val="0"/>
                <w:i w:val="0"/>
                <w:strike w:val="0"/>
                <w:color w:val="000000"/>
                <w:sz w:val="13"/>
                <w:u w:val="none"/>
                <w:vertAlign w:val="baseline"/>
              </w:rPr>
              <w:t>-578</w:t>
            </w:r>
            <w:bookmarkStart w:id="111" w:name="XBRL_CE_cf793b614c7e41c1a1c03534a4e119e8"/>
            <w:bookmarkEnd w:id="110"/>
            <w:bookmarkEnd w:id="111"/>
          </w:p>
        </w:tc>
        <w:tc>
          <w:tcPr>
            <w:tcW w:w="108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of result of associates and joint ventures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2" w:name="XBRL_CS_c63a93ba36b74759b23269025b3ce449"/>
            <w:bookmarkEnd w:id="112"/>
            <w:bookmarkStart w:id="113" w:name="c63a93ba36b74759b23269025b3ce449"/>
            <w:r>
              <w:rPr>
                <w:rFonts w:ascii="Arial" w:eastAsia="Arial" w:hAnsi="Arial" w:cs="Arial"/>
                <w:b/>
                <w:i w:val="0"/>
                <w:strike w:val="0"/>
                <w:color w:val="000000"/>
                <w:sz w:val="13"/>
                <w:u w:val="none"/>
                <w:vertAlign w:val="baseline"/>
              </w:rPr>
              <w:t>3</w:t>
            </w:r>
            <w:bookmarkStart w:id="114" w:name="XBRL_CE_c63a93ba36b74759b23269025b3ce449"/>
            <w:bookmarkEnd w:id="113"/>
            <w:bookmarkEnd w:id="114"/>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15" w:name="XBRL_CS_94f82194195c437fa44993d47c824930"/>
            <w:bookmarkEnd w:id="115"/>
            <w:bookmarkStart w:id="116" w:name="94f82194195c437fa44993d47c824930"/>
            <w:r>
              <w:rPr>
                <w:rFonts w:ascii="Arial" w:eastAsia="Arial" w:hAnsi="Arial" w:cs="Arial"/>
                <w:b w:val="0"/>
                <w:i w:val="0"/>
                <w:strike w:val="0"/>
                <w:color w:val="000000"/>
                <w:sz w:val="13"/>
                <w:u w:val="none"/>
                <w:vertAlign w:val="baseline"/>
              </w:rPr>
              <w:t>-9</w:t>
            </w:r>
            <w:bookmarkStart w:id="117" w:name="XBRL_CE_94f82194195c437fa44993d47c824930"/>
            <w:bookmarkEnd w:id="116"/>
            <w:bookmarkEnd w:id="117"/>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6.4.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Operating result</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8" w:name="XBRL_CS_1f15dc89e2174488b1602b935e1e9fc0"/>
            <w:bookmarkEnd w:id="118"/>
            <w:bookmarkStart w:id="119" w:name="1f15dc89e2174488b1602b935e1e9fc0"/>
            <w:r>
              <w:rPr>
                <w:rFonts w:ascii="Arial" w:eastAsia="Arial" w:hAnsi="Arial" w:cs="Arial"/>
                <w:b/>
                <w:i w:val="0"/>
                <w:strike w:val="0"/>
                <w:color w:val="000000"/>
                <w:sz w:val="13"/>
                <w:u w:val="none"/>
                <w:vertAlign w:val="baseline"/>
              </w:rPr>
              <w:t>234</w:t>
            </w:r>
            <w:bookmarkStart w:id="120" w:name="XBRL_CE_1f15dc89e2174488b1602b935e1e9fc0"/>
            <w:bookmarkEnd w:id="119"/>
            <w:bookmarkEnd w:id="120"/>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21" w:name="XBRL_CS_89cbb313e8b246d8902484c68c2460fb"/>
            <w:bookmarkEnd w:id="121"/>
            <w:bookmarkStart w:id="122" w:name="89cbb313e8b246d8902484c68c2460fb"/>
            <w:r>
              <w:rPr>
                <w:rFonts w:ascii="Arial" w:eastAsia="Arial" w:hAnsi="Arial" w:cs="Arial"/>
                <w:b w:val="0"/>
                <w:i w:val="0"/>
                <w:strike w:val="0"/>
                <w:color w:val="000000"/>
                <w:sz w:val="13"/>
                <w:u w:val="none"/>
                <w:vertAlign w:val="baseline"/>
              </w:rPr>
              <w:t>362</w:t>
            </w:r>
            <w:bookmarkStart w:id="123" w:name="XBRL_CE_89cbb313e8b246d8902484c68c2460fb"/>
            <w:bookmarkEnd w:id="122"/>
            <w:bookmarkEnd w:id="123"/>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 a percentage of net sales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24" w:name="XBRL_CS_c336c4f02fa94eb4ae4c0c7c825d0c72"/>
            <w:bookmarkEnd w:id="124"/>
            <w:bookmarkStart w:id="125" w:name="c336c4f02fa94eb4ae4c0c7c825d0c72"/>
            <w:r>
              <w:rPr>
                <w:rFonts w:ascii="Arial" w:eastAsia="Arial" w:hAnsi="Arial" w:cs="Arial"/>
                <w:b/>
                <w:i w:val="0"/>
                <w:strike w:val="0"/>
                <w:color w:val="000000"/>
                <w:sz w:val="13"/>
                <w:u w:val="none"/>
                <w:vertAlign w:val="baseline"/>
              </w:rPr>
              <w:t>5.1</w:t>
            </w:r>
            <w:bookmarkStart w:id="126" w:name="XBRL_CE_c336c4f02fa94eb4ae4c0c7c825d0c72"/>
            <w:bookmarkEnd w:id="125"/>
            <w:bookmarkEnd w:id="126"/>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27" w:name="XBRL_CS_3a976e30d0ad4a608642eded5a25e6c8"/>
            <w:bookmarkEnd w:id="127"/>
            <w:bookmarkStart w:id="128" w:name="3a976e30d0ad4a608642eded5a25e6c8"/>
            <w:r>
              <w:rPr>
                <w:rFonts w:ascii="Arial" w:eastAsia="Arial" w:hAnsi="Arial" w:cs="Arial"/>
                <w:b w:val="0"/>
                <w:i w:val="0"/>
                <w:strike w:val="0"/>
                <w:color w:val="000000"/>
                <w:sz w:val="13"/>
                <w:u w:val="none"/>
                <w:vertAlign w:val="baseline"/>
              </w:rPr>
              <w:t>7.0</w:t>
            </w:r>
            <w:bookmarkStart w:id="129" w:name="XBRL_CE_3a976e30d0ad4a608642eded5a25e6c8"/>
            <w:bookmarkEnd w:id="128"/>
            <w:bookmarkEnd w:id="129"/>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Financial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30" w:name="XBRL_CS_da92fec1a2ae43c3a984355a210774fe"/>
            <w:bookmarkEnd w:id="130"/>
            <w:bookmarkStart w:id="131" w:name="da92fec1a2ae43c3a984355a210774fe"/>
            <w:r>
              <w:rPr>
                <w:rFonts w:ascii="Arial" w:eastAsia="Arial" w:hAnsi="Arial" w:cs="Arial"/>
                <w:b/>
                <w:i w:val="0"/>
                <w:strike w:val="0"/>
                <w:color w:val="000000"/>
                <w:sz w:val="13"/>
                <w:u w:val="none"/>
                <w:vertAlign w:val="baseline"/>
              </w:rPr>
              <w:t>16</w:t>
            </w:r>
            <w:bookmarkStart w:id="132" w:name="XBRL_CE_da92fec1a2ae43c3a984355a210774fe"/>
            <w:bookmarkEnd w:id="131"/>
            <w:bookmarkEnd w:id="132"/>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33" w:name="XBRL_CS_a7a20b4683d54712a009531a2720673d"/>
            <w:bookmarkEnd w:id="133"/>
            <w:bookmarkStart w:id="134" w:name="a7a20b4683d54712a009531a2720673d"/>
            <w:r>
              <w:rPr>
                <w:rFonts w:ascii="Arial" w:eastAsia="Arial" w:hAnsi="Arial" w:cs="Arial"/>
                <w:b w:val="0"/>
                <w:i w:val="0"/>
                <w:strike w:val="0"/>
                <w:color w:val="000000"/>
                <w:sz w:val="13"/>
                <w:u w:val="none"/>
                <w:vertAlign w:val="baseline"/>
              </w:rPr>
              <w:t>27</w:t>
            </w:r>
            <w:bookmarkStart w:id="135" w:name="XBRL_CE_a7a20b4683d54712a009531a2720673d"/>
            <w:bookmarkEnd w:id="134"/>
            <w:bookmarkEnd w:id="135"/>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5.1.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Financial expenses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36" w:name="XBRL_CS_c6c64b1bc26e4a97a540e19431c9fa4c"/>
            <w:bookmarkEnd w:id="136"/>
            <w:bookmarkStart w:id="137" w:name="c6c64b1bc26e4a97a540e19431c9fa4c"/>
            <w:r>
              <w:rPr>
                <w:rFonts w:ascii="Arial" w:eastAsia="Arial" w:hAnsi="Arial" w:cs="Arial"/>
                <w:b/>
                <w:i w:val="0"/>
                <w:strike w:val="0"/>
                <w:color w:val="000000"/>
                <w:sz w:val="13"/>
                <w:u w:val="none"/>
                <w:vertAlign w:val="baseline"/>
              </w:rPr>
              <w:t>-59</w:t>
            </w:r>
            <w:bookmarkStart w:id="138" w:name="XBRL_CE_c6c64b1bc26e4a97a540e19431c9fa4c"/>
            <w:bookmarkEnd w:id="137"/>
            <w:bookmarkEnd w:id="138"/>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39" w:name="XBRL_CS_f4940da6aa984e73a7b06328d5318c20"/>
            <w:bookmarkEnd w:id="139"/>
            <w:bookmarkStart w:id="140" w:name="f4940da6aa984e73a7b06328d5318c20"/>
            <w:r>
              <w:rPr>
                <w:rFonts w:ascii="Arial" w:eastAsia="Arial" w:hAnsi="Arial" w:cs="Arial"/>
                <w:b w:val="0"/>
                <w:i w:val="0"/>
                <w:strike w:val="0"/>
                <w:color w:val="000000"/>
                <w:sz w:val="13"/>
                <w:u w:val="none"/>
                <w:vertAlign w:val="baseline"/>
              </w:rPr>
              <w:t>-74</w:t>
            </w:r>
            <w:bookmarkStart w:id="141" w:name="XBRL_CE_f4940da6aa984e73a7b06328d5318c20"/>
            <w:bookmarkEnd w:id="140"/>
            <w:bookmarkEnd w:id="141"/>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5.1.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Profit before taxes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42" w:name="XBRL_CS_96a13edc12024ac49f0ac68671de5d65"/>
            <w:bookmarkEnd w:id="142"/>
            <w:bookmarkStart w:id="143" w:name="96a13edc12024ac49f0ac68671de5d65"/>
            <w:r>
              <w:rPr>
                <w:rFonts w:ascii="Arial" w:eastAsia="Arial" w:hAnsi="Arial" w:cs="Arial"/>
                <w:b/>
                <w:i w:val="0"/>
                <w:strike w:val="0"/>
                <w:color w:val="000000"/>
                <w:sz w:val="13"/>
                <w:u w:val="none"/>
                <w:vertAlign w:val="baseline"/>
              </w:rPr>
              <w:t>191</w:t>
            </w:r>
            <w:bookmarkStart w:id="144" w:name="XBRL_CE_96a13edc12024ac49f0ac68671de5d65"/>
            <w:bookmarkEnd w:id="143"/>
            <w:bookmarkEnd w:id="144"/>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45" w:name="XBRL_CS_9238f75578204fa3a2f83ba8e1c87f15"/>
            <w:bookmarkEnd w:id="145"/>
            <w:bookmarkStart w:id="146" w:name="9238f75578204fa3a2f83ba8e1c87f15"/>
            <w:r>
              <w:rPr>
                <w:rFonts w:ascii="Arial" w:eastAsia="Arial" w:hAnsi="Arial" w:cs="Arial"/>
                <w:b w:val="0"/>
                <w:i w:val="0"/>
                <w:strike w:val="0"/>
                <w:color w:val="000000"/>
                <w:sz w:val="13"/>
                <w:u w:val="none"/>
                <w:vertAlign w:val="baseline"/>
              </w:rPr>
              <w:t>315</w:t>
            </w:r>
            <w:bookmarkStart w:id="147" w:name="XBRL_CE_9238f75578204fa3a2f83ba8e1c87f15"/>
            <w:bookmarkEnd w:id="146"/>
            <w:bookmarkEnd w:id="147"/>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center"/>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taxes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48" w:name="XBRL_CS_a82eadc9a7714316a3170a4c56bb22df"/>
            <w:bookmarkEnd w:id="148"/>
            <w:bookmarkStart w:id="149" w:name="a82eadc9a7714316a3170a4c56bb22df"/>
            <w:r>
              <w:rPr>
                <w:rFonts w:ascii="Arial" w:eastAsia="Arial" w:hAnsi="Arial" w:cs="Arial"/>
                <w:b/>
                <w:i w:val="0"/>
                <w:strike w:val="0"/>
                <w:color w:val="000000"/>
                <w:sz w:val="13"/>
                <w:u w:val="none"/>
                <w:vertAlign w:val="baseline"/>
              </w:rPr>
              <w:t>-58</w:t>
            </w:r>
            <w:bookmarkStart w:id="150" w:name="XBRL_CE_a82eadc9a7714316a3170a4c56bb22df"/>
            <w:bookmarkEnd w:id="149"/>
            <w:bookmarkEnd w:id="150"/>
          </w:p>
        </w:tc>
        <w:tc>
          <w:tcPr>
            <w:tcW w:w="120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51" w:name="XBRL_CS_a5c33a12be4d458c8b225138f258504d"/>
            <w:bookmarkEnd w:id="151"/>
            <w:bookmarkStart w:id="152" w:name="a5c33a12be4d458c8b225138f258504d"/>
            <w:r>
              <w:rPr>
                <w:rFonts w:ascii="Arial" w:eastAsia="Arial" w:hAnsi="Arial" w:cs="Arial"/>
                <w:b w:val="0"/>
                <w:i w:val="0"/>
                <w:strike w:val="0"/>
                <w:color w:val="000000"/>
                <w:sz w:val="13"/>
                <w:u w:val="none"/>
                <w:vertAlign w:val="baseline"/>
              </w:rPr>
              <w:t>-97</w:t>
            </w:r>
            <w:bookmarkStart w:id="153" w:name="XBRL_CE_a5c33a12be4d458c8b225138f258504d"/>
            <w:bookmarkEnd w:id="152"/>
            <w:bookmarkEnd w:id="153"/>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Profit for the financial period</w:t>
            </w:r>
          </w:p>
        </w:tc>
        <w:tc>
          <w:tcPr>
            <w:tcW w:w="120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54" w:name="XBRL_CS_9d57b394652d4fcba2c95c077aaa649c"/>
            <w:bookmarkEnd w:id="154"/>
            <w:bookmarkStart w:id="155" w:name="9d57b394652d4fcba2c95c077aaa649c"/>
            <w:r>
              <w:rPr>
                <w:rFonts w:ascii="Arial" w:eastAsia="Arial" w:hAnsi="Arial" w:cs="Arial"/>
                <w:b/>
                <w:i w:val="0"/>
                <w:strike w:val="0"/>
                <w:color w:val="000000"/>
                <w:sz w:val="13"/>
                <w:u w:val="none"/>
                <w:vertAlign w:val="baseline"/>
              </w:rPr>
              <w:t>133</w:t>
            </w:r>
            <w:bookmarkStart w:id="156" w:name="XBRL_CE_9d57b394652d4fcba2c95c077aaa649c"/>
            <w:bookmarkEnd w:id="155"/>
            <w:bookmarkEnd w:id="156"/>
          </w:p>
        </w:tc>
        <w:tc>
          <w:tcPr>
            <w:tcW w:w="120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57" w:name="XBRL_CS_0fd6060633d145c793892c8eb0d1e8d8"/>
            <w:bookmarkEnd w:id="157"/>
            <w:bookmarkStart w:id="158" w:name="0fd6060633d145c793892c8eb0d1e8d8"/>
            <w:r>
              <w:rPr>
                <w:rFonts w:ascii="Arial" w:eastAsia="Arial" w:hAnsi="Arial" w:cs="Arial"/>
                <w:b w:val="0"/>
                <w:i w:val="0"/>
                <w:strike w:val="0"/>
                <w:color w:val="000000"/>
                <w:sz w:val="13"/>
                <w:u w:val="none"/>
                <w:vertAlign w:val="baseline"/>
              </w:rPr>
              <w:t>218</w:t>
            </w:r>
            <w:bookmarkStart w:id="159" w:name="XBRL_CE_0fd6060633d145c793892c8eb0d1e8d8"/>
            <w:bookmarkEnd w:id="158"/>
            <w:bookmarkEnd w:id="159"/>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Attributable to:</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equity holders of the parent company</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60" w:name="XBRL_CS_cc5b9aab9cb941629c0e8a5a720a3262"/>
            <w:bookmarkEnd w:id="160"/>
            <w:bookmarkStart w:id="161" w:name="cc5b9aab9cb941629c0e8a5a720a3262"/>
            <w:r>
              <w:rPr>
                <w:rFonts w:ascii="Arial" w:eastAsia="Arial" w:hAnsi="Arial" w:cs="Arial"/>
                <w:b/>
                <w:i w:val="0"/>
                <w:strike w:val="0"/>
                <w:color w:val="000000"/>
                <w:sz w:val="13"/>
                <w:u w:val="none"/>
                <w:vertAlign w:val="baseline"/>
              </w:rPr>
              <w:t>134</w:t>
            </w:r>
            <w:bookmarkStart w:id="162" w:name="XBRL_CE_cc5b9aab9cb941629c0e8a5a720a3262"/>
            <w:bookmarkEnd w:id="161"/>
            <w:bookmarkEnd w:id="162"/>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63" w:name="XBRL_CS_eb50c303419546738d6a944b08225b9a"/>
            <w:bookmarkEnd w:id="163"/>
            <w:bookmarkStart w:id="164" w:name="eb50c303419546738d6a944b08225b9a"/>
            <w:r>
              <w:rPr>
                <w:rFonts w:ascii="Arial" w:eastAsia="Arial" w:hAnsi="Arial" w:cs="Arial"/>
                <w:b w:val="0"/>
                <w:i w:val="0"/>
                <w:strike w:val="0"/>
                <w:color w:val="000000"/>
                <w:sz w:val="13"/>
                <w:u w:val="none"/>
                <w:vertAlign w:val="baseline"/>
              </w:rPr>
              <w:t>217</w:t>
            </w:r>
            <w:bookmarkStart w:id="165" w:name="XBRL_CE_eb50c303419546738d6a944b08225b9a"/>
            <w:bookmarkEnd w:id="164"/>
            <w:bookmarkEnd w:id="165"/>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non-controlling interests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66" w:name="XBRL_CS_db3fdb93c8dd4de6a1bc37a7f8f6a70f"/>
            <w:bookmarkEnd w:id="166"/>
            <w:bookmarkStart w:id="167" w:name="db3fdb93c8dd4de6a1bc37a7f8f6a70f"/>
            <w:r>
              <w:rPr>
                <w:rFonts w:ascii="Arial" w:eastAsia="Arial" w:hAnsi="Arial" w:cs="Arial"/>
                <w:b/>
                <w:i w:val="0"/>
                <w:strike w:val="0"/>
                <w:color w:val="000000"/>
                <w:sz w:val="13"/>
                <w:u w:val="none"/>
                <w:vertAlign w:val="baseline"/>
              </w:rPr>
              <w:t>-1</w:t>
            </w:r>
            <w:bookmarkStart w:id="168" w:name="XBRL_CE_db3fdb93c8dd4de6a1bc37a7f8f6a70f"/>
            <w:bookmarkEnd w:id="167"/>
            <w:bookmarkEnd w:id="168"/>
          </w:p>
        </w:tc>
        <w:tc>
          <w:tcPr>
            <w:tcW w:w="120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69" w:name="XBRL_CS_37292ea6befa4422924c816db298395f"/>
            <w:bookmarkEnd w:id="169"/>
            <w:bookmarkStart w:id="170" w:name="37292ea6befa4422924c816db298395f"/>
            <w:r>
              <w:rPr>
                <w:rFonts w:ascii="Arial" w:eastAsia="Arial" w:hAnsi="Arial" w:cs="Arial"/>
                <w:b w:val="0"/>
                <w:i w:val="0"/>
                <w:strike w:val="0"/>
                <w:color w:val="000000"/>
                <w:sz w:val="13"/>
                <w:u w:val="none"/>
                <w:vertAlign w:val="baseline"/>
              </w:rPr>
              <w:t>1</w:t>
            </w:r>
            <w:bookmarkStart w:id="171" w:name="XBRL_CE_37292ea6befa4422924c816db298395f"/>
            <w:bookmarkEnd w:id="170"/>
            <w:bookmarkEnd w:id="171"/>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72" w:name="XBRL_CS_d7a6a8054d9241c4bd534007bec8505b"/>
            <w:bookmarkEnd w:id="172"/>
            <w:bookmarkStart w:id="173" w:name="d7a6a8054d9241c4bd534007bec8505b"/>
            <w:r>
              <w:rPr>
                <w:rFonts w:ascii="Arial" w:eastAsia="Arial" w:hAnsi="Arial" w:cs="Arial"/>
                <w:b/>
                <w:i w:val="0"/>
                <w:strike w:val="0"/>
                <w:color w:val="000000"/>
                <w:sz w:val="13"/>
                <w:u w:val="none"/>
                <w:vertAlign w:val="baseline"/>
              </w:rPr>
              <w:t>133</w:t>
            </w:r>
            <w:bookmarkStart w:id="174" w:name="XBRL_CE_d7a6a8054d9241c4bd534007bec8505b"/>
            <w:bookmarkEnd w:id="173"/>
            <w:bookmarkEnd w:id="174"/>
          </w:p>
        </w:tc>
        <w:tc>
          <w:tcPr>
            <w:tcW w:w="120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75" w:name="XBRL_CS_04d0742f72b04ab6bed859ccd62b1abf"/>
            <w:bookmarkEnd w:id="175"/>
            <w:bookmarkStart w:id="176" w:name="04d0742f72b04ab6bed859ccd62b1abf"/>
            <w:r>
              <w:rPr>
                <w:rFonts w:ascii="Arial" w:eastAsia="Arial" w:hAnsi="Arial" w:cs="Arial"/>
                <w:b w:val="0"/>
                <w:i w:val="0"/>
                <w:strike w:val="0"/>
                <w:color w:val="000000"/>
                <w:sz w:val="13"/>
                <w:u w:val="none"/>
                <w:vertAlign w:val="baseline"/>
              </w:rPr>
              <w:t>218</w:t>
            </w:r>
            <w:bookmarkStart w:id="177" w:name="XBRL_CE_04d0742f72b04ab6bed859ccd62b1abf"/>
            <w:bookmarkEnd w:id="176"/>
            <w:bookmarkEnd w:id="177"/>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Earnings per share attributable to equity holders of the parent company (basic and diluted):</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Earnings per share (EPS), basic and diluted, EUR</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78" w:name="XBRL_CS_255e214facb2405784c1d18274b3b057"/>
            <w:bookmarkEnd w:id="178"/>
            <w:bookmarkStart w:id="179" w:name="255e214facb2405784c1d18274b3b057"/>
            <w:r>
              <w:rPr>
                <w:rFonts w:ascii="Arial" w:eastAsia="Arial" w:hAnsi="Arial" w:cs="Arial"/>
                <w:b/>
                <w:i w:val="0"/>
                <w:strike w:val="0"/>
                <w:color w:val="000000"/>
                <w:sz w:val="13"/>
                <w:u w:val="none"/>
                <w:vertAlign w:val="baseline"/>
              </w:rPr>
              <w:t>0.23</w:t>
            </w:r>
            <w:bookmarkStart w:id="180" w:name="XBRL_CE_255e214facb2405784c1d18274b3b057"/>
            <w:bookmarkEnd w:id="179"/>
            <w:bookmarkEnd w:id="180"/>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81" w:name="XBRL_CS_57c5c3edbd344c0ea994b9691546e503"/>
            <w:bookmarkEnd w:id="181"/>
            <w:bookmarkStart w:id="182" w:name="57c5c3edbd344c0ea994b9691546e503"/>
            <w:r>
              <w:rPr>
                <w:rFonts w:ascii="Arial" w:eastAsia="Arial" w:hAnsi="Arial" w:cs="Arial"/>
                <w:b w:val="0"/>
                <w:i w:val="0"/>
                <w:strike w:val="0"/>
                <w:color w:val="000000"/>
                <w:sz w:val="13"/>
                <w:u w:val="none"/>
                <w:vertAlign w:val="baseline"/>
              </w:rPr>
              <w:t>0.37</w:t>
            </w:r>
            <w:bookmarkStart w:id="183" w:name="XBRL_CE_57c5c3edbd344c0ea994b9691546e503"/>
            <w:bookmarkEnd w:id="182"/>
            <w:bookmarkEnd w:id="183"/>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2.7.</w:t>
            </w:r>
          </w:p>
        </w:tc>
      </w:tr>
    </w:tbl>
    <w:p w:rsidR="005002C1" w:rsidP="008F0E88" w14:paraId="37DF154D" w14:textId="77777777">
      <w:pPr>
        <w:pStyle w:val="Bodytext2"/>
      </w:pPr>
      <w:bookmarkStart w:id="184" w:name="RG_MARKER_4494"/>
      <w:bookmarkEnd w:id="184"/>
    </w:p>
    <w:p w:rsidR="008F0E88" w:rsidRPr="0000003F" w:rsidP="008F0E88" w14:textId="45B47AFD">
      <w:pPr>
        <w:pStyle w:val="Bodytext2"/>
        <w:rPr>
          <w:sz w:val="2"/>
          <w:szCs w:val="2"/>
        </w:rPr>
      </w:pPr>
      <w:r w:rsidRPr="008F0E88">
        <w:t>The notes are an integral part of these consolidated financial statements.</w:t>
      </w:r>
      <w:r>
        <w:br w:type="column"/>
      </w:r>
    </w:p>
    <w:p w:rsidR="00E75286" w:rsidRPr="00CC289E" w:rsidP="007D4246" w14:paraId="3A44544E" w14:textId="241A9965">
      <w:pPr>
        <w:pStyle w:val="Heading10"/>
        <w:rPr>
          <w:sz w:val="2"/>
          <w:szCs w:val="2"/>
        </w:rPr>
      </w:pPr>
      <w:bookmarkStart w:id="185" w:name="RG_MARKER_4197"/>
      <w:r w:rsidRPr="00E75286">
        <w:t>CONSOLIDATED STATEMENT OF COMPREHENSIVE INCOME</w:t>
      </w:r>
      <w:bookmarkEnd w:id="185"/>
    </w:p>
    <w:p/>
    <w:tbl>
      <w:tblPr>
        <w:tblStyle w:val="CDMRange2"/>
        <w:tblW w:w="7365" w:type="dxa"/>
        <w:tblLayout w:type="fixed"/>
        <w:tblLook w:val="0600"/>
      </w:tblPr>
      <w:tblGrid>
        <w:gridCol w:w="3885"/>
        <w:gridCol w:w="1200"/>
        <w:gridCol w:w="1200"/>
        <w:gridCol w:w="1080"/>
      </w:tblGrid>
      <w:tr>
        <w:tblPrEx>
          <w:tblW w:w="7365" w:type="dxa"/>
          <w:tblLayout w:type="fixed"/>
          <w:tblLook w:val="0600"/>
        </w:tblPrEx>
        <w:trPr>
          <w:trHeight w:hRule="exact" w:val="240"/>
        </w:trPr>
        <w:tc>
          <w:tcPr>
            <w:tcW w:w="38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0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0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Note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Profit for the financial period</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86" w:name="XBRL_CS_6eed26988d754b3b931c2cf0dff752ff"/>
            <w:bookmarkEnd w:id="186"/>
            <w:bookmarkStart w:id="187" w:name="6eed26988d754b3b931c2cf0dff752ff"/>
            <w:r>
              <w:rPr>
                <w:rFonts w:ascii="Arial" w:eastAsia="Arial" w:hAnsi="Arial" w:cs="Arial"/>
                <w:b/>
                <w:i w:val="0"/>
                <w:strike w:val="0"/>
                <w:color w:val="000000"/>
                <w:sz w:val="13"/>
                <w:u w:val="none"/>
                <w:vertAlign w:val="baseline"/>
              </w:rPr>
              <w:t>133</w:t>
            </w:r>
            <w:bookmarkStart w:id="188" w:name="XBRL_CE_6eed26988d754b3b931c2cf0dff752ff"/>
            <w:bookmarkEnd w:id="187"/>
            <w:bookmarkEnd w:id="188"/>
          </w:p>
        </w:tc>
        <w:tc>
          <w:tcPr>
            <w:tcW w:w="120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89" w:name="XBRL_CS_d80703bc62084664bbb5c68a914fdc5d"/>
            <w:bookmarkEnd w:id="189"/>
            <w:bookmarkStart w:id="190" w:name="d80703bc62084664bbb5c68a914fdc5d"/>
            <w:r>
              <w:rPr>
                <w:rFonts w:ascii="Arial" w:eastAsia="Arial" w:hAnsi="Arial" w:cs="Arial"/>
                <w:b w:val="0"/>
                <w:i w:val="0"/>
                <w:strike w:val="0"/>
                <w:color w:val="000000"/>
                <w:sz w:val="13"/>
                <w:u w:val="none"/>
                <w:vertAlign w:val="baseline"/>
              </w:rPr>
              <w:t>218</w:t>
            </w:r>
            <w:bookmarkStart w:id="191" w:name="XBRL_CE_d80703bc62084664bbb5c68a914fdc5d"/>
            <w:bookmarkEnd w:id="190"/>
            <w:bookmarkEnd w:id="191"/>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 comprehensive income, net of taxes: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Items that will not be reclassified to the statement of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Remeasurements of defined benefit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92" w:name="XBRL_CS_6eb65608de85425cab75a9af7efaa56f"/>
            <w:bookmarkEnd w:id="192"/>
            <w:bookmarkStart w:id="193" w:name="6eb65608de85425cab75a9af7efaa56f"/>
            <w:r>
              <w:rPr>
                <w:rFonts w:ascii="Arial" w:eastAsia="Arial" w:hAnsi="Arial" w:cs="Arial"/>
                <w:b/>
                <w:i w:val="0"/>
                <w:strike w:val="0"/>
                <w:color w:val="000000"/>
                <w:sz w:val="13"/>
                <w:u w:val="none"/>
                <w:vertAlign w:val="baseline"/>
              </w:rPr>
              <w:t>6</w:t>
            </w:r>
            <w:bookmarkStart w:id="194" w:name="XBRL_CE_6eb65608de85425cab75a9af7efaa56f"/>
            <w:bookmarkEnd w:id="193"/>
            <w:bookmarkEnd w:id="194"/>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195" w:name="XBRL_CS_03597aeaf2574891a0a95f166dec9b87"/>
            <w:bookmarkEnd w:id="195"/>
            <w:bookmarkStart w:id="196" w:name="03597aeaf2574891a0a95f166dec9b87"/>
            <w:r>
              <w:rPr>
                <w:rFonts w:ascii="Arial" w:eastAsia="Arial" w:hAnsi="Arial" w:cs="Arial"/>
                <w:b w:val="0"/>
                <w:i w:val="0"/>
                <w:strike w:val="0"/>
                <w:color w:val="000000"/>
                <w:sz w:val="13"/>
                <w:u w:val="none"/>
                <w:vertAlign w:val="baseline"/>
              </w:rPr>
              <w:t>-20</w:t>
            </w:r>
            <w:bookmarkStart w:id="197" w:name="XBRL_CE_03597aeaf2574891a0a95f166dec9b87"/>
            <w:bookmarkEnd w:id="196"/>
            <w:bookmarkEnd w:id="197"/>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 on items that will not be reclassified to the statement of income</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98" w:name="XBRL_CS_516921627b754c0787747d75ac653f20"/>
            <w:bookmarkEnd w:id="198"/>
            <w:bookmarkStart w:id="199" w:name="516921627b754c0787747d75ac653f20"/>
            <w:r>
              <w:rPr>
                <w:rFonts w:ascii="Arial" w:eastAsia="Arial" w:hAnsi="Arial" w:cs="Arial"/>
                <w:b/>
                <w:i w:val="0"/>
                <w:strike w:val="0"/>
                <w:color w:val="000000"/>
                <w:sz w:val="13"/>
                <w:u w:val="none"/>
                <w:vertAlign w:val="baseline"/>
              </w:rPr>
              <w:t>-1</w:t>
            </w:r>
            <w:bookmarkStart w:id="200" w:name="XBRL_CE_516921627b754c0787747d75ac653f20"/>
            <w:bookmarkEnd w:id="199"/>
            <w:bookmarkEnd w:id="200"/>
          </w:p>
        </w:tc>
        <w:tc>
          <w:tcPr>
            <w:tcW w:w="120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01" w:name="XBRL_CS_fe313caa7ec443ba8dcb922b678e1b79"/>
            <w:bookmarkEnd w:id="201"/>
            <w:bookmarkStart w:id="202" w:name="fe313caa7ec443ba8dcb922b678e1b79"/>
            <w:r>
              <w:rPr>
                <w:rFonts w:ascii="Arial" w:eastAsia="Arial" w:hAnsi="Arial" w:cs="Arial"/>
                <w:b w:val="0"/>
                <w:i w:val="0"/>
                <w:strike w:val="0"/>
                <w:color w:val="000000"/>
                <w:sz w:val="13"/>
                <w:u w:val="none"/>
                <w:vertAlign w:val="baseline"/>
              </w:rPr>
              <w:t>5</w:t>
            </w:r>
            <w:bookmarkStart w:id="203" w:name="XBRL_CE_fe313caa7ec443ba8dcb922b678e1b79"/>
            <w:bookmarkEnd w:id="202"/>
            <w:bookmarkEnd w:id="203"/>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items that will not be reclassified to the statement of income</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04" w:name="XBRL_CS_4fd81dcb1f9e4ce39e2496043793ad20"/>
            <w:bookmarkEnd w:id="204"/>
            <w:bookmarkStart w:id="205" w:name="4fd81dcb1f9e4ce39e2496043793ad20"/>
            <w:r>
              <w:rPr>
                <w:rFonts w:ascii="Arial" w:eastAsia="Arial" w:hAnsi="Arial" w:cs="Arial"/>
                <w:b/>
                <w:i w:val="0"/>
                <w:strike w:val="0"/>
                <w:color w:val="000000"/>
                <w:sz w:val="13"/>
                <w:u w:val="none"/>
                <w:vertAlign w:val="baseline"/>
              </w:rPr>
              <w:t>5</w:t>
            </w:r>
            <w:bookmarkStart w:id="206" w:name="XBRL_CE_4fd81dcb1f9e4ce39e2496043793ad20"/>
            <w:bookmarkEnd w:id="205"/>
            <w:bookmarkEnd w:id="206"/>
          </w:p>
        </w:tc>
        <w:tc>
          <w:tcPr>
            <w:tcW w:w="120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07" w:name="XBRL_CS_fb0fef97c8524a6b8154255eac6bb36b"/>
            <w:bookmarkEnd w:id="207"/>
            <w:bookmarkStart w:id="208" w:name="fb0fef97c8524a6b8154255eac6bb36b"/>
            <w:r>
              <w:rPr>
                <w:rFonts w:ascii="Arial" w:eastAsia="Arial" w:hAnsi="Arial" w:cs="Arial"/>
                <w:b w:val="0"/>
                <w:i w:val="0"/>
                <w:strike w:val="0"/>
                <w:color w:val="000000"/>
                <w:sz w:val="13"/>
                <w:u w:val="none"/>
                <w:vertAlign w:val="baseline"/>
              </w:rPr>
              <w:t>-16</w:t>
            </w:r>
            <w:bookmarkStart w:id="209" w:name="XBRL_CE_fb0fef97c8524a6b8154255eac6bb36b"/>
            <w:bookmarkEnd w:id="208"/>
            <w:bookmarkEnd w:id="209"/>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Items that may be reclassified subsequently to the statement of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Exchange rate differences on translating foreign operations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for equity holders of the parent company</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10" w:name="XBRL_CS_670f5ffb02c94cc08ec0c7d49c68a25d"/>
            <w:bookmarkEnd w:id="210"/>
            <w:bookmarkStart w:id="211" w:name="670f5ffb02c94cc08ec0c7d49c68a25d"/>
            <w:r>
              <w:rPr>
                <w:rFonts w:ascii="Arial" w:eastAsia="Arial" w:hAnsi="Arial" w:cs="Arial"/>
                <w:b/>
                <w:i w:val="0"/>
                <w:strike w:val="0"/>
                <w:color w:val="000000"/>
                <w:sz w:val="13"/>
                <w:u w:val="none"/>
                <w:vertAlign w:val="baseline"/>
              </w:rPr>
              <w:t>-74</w:t>
            </w:r>
            <w:bookmarkStart w:id="212" w:name="XBRL_CE_670f5ffb02c94cc08ec0c7d49c68a25d"/>
            <w:bookmarkEnd w:id="211"/>
            <w:bookmarkEnd w:id="212"/>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13" w:name="XBRL_CS_e1b65fe8e3f447cc9942b6e5b85cd91b"/>
            <w:bookmarkEnd w:id="213"/>
            <w:bookmarkStart w:id="214" w:name="e1b65fe8e3f447cc9942b6e5b85cd91b"/>
            <w:r>
              <w:rPr>
                <w:rFonts w:ascii="Arial" w:eastAsia="Arial" w:hAnsi="Arial" w:cs="Arial"/>
                <w:b w:val="0"/>
                <w:i w:val="0"/>
                <w:strike w:val="0"/>
                <w:color w:val="000000"/>
                <w:sz w:val="13"/>
                <w:u w:val="none"/>
                <w:vertAlign w:val="baseline"/>
              </w:rPr>
              <w:t>42</w:t>
            </w:r>
            <w:bookmarkStart w:id="215" w:name="XBRL_CE_e1b65fe8e3f447cc9942b6e5b85cd91b"/>
            <w:bookmarkEnd w:id="214"/>
            <w:bookmarkEnd w:id="215"/>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for non-controlling interests </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16" w:name="XBRL_CS_ed43eb2f36bf461e8ef83ece66f3791a"/>
            <w:bookmarkEnd w:id="216"/>
            <w:bookmarkStart w:id="217" w:name="ed43eb2f36bf461e8ef83ece66f3791a"/>
            <w:r>
              <w:rPr>
                <w:rFonts w:ascii="Arial" w:eastAsia="Arial" w:hAnsi="Arial" w:cs="Arial"/>
                <w:b/>
                <w:i w:val="0"/>
                <w:strike w:val="0"/>
                <w:color w:val="000000"/>
                <w:sz w:val="13"/>
                <w:u w:val="none"/>
                <w:vertAlign w:val="baseline"/>
              </w:rPr>
              <w:t>-1</w:t>
            </w:r>
            <w:bookmarkStart w:id="218" w:name="XBRL_CE_ed43eb2f36bf461e8ef83ece66f3791a"/>
            <w:bookmarkEnd w:id="217"/>
            <w:bookmarkEnd w:id="218"/>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transferred to the statement of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19" w:name="XBRL_CS_a6112ecd69fa43e797f7c602271d0914"/>
            <w:bookmarkEnd w:id="219"/>
            <w:bookmarkStart w:id="220" w:name="a6112ecd69fa43e797f7c602271d0914"/>
            <w:r>
              <w:rPr>
                <w:rFonts w:ascii="Arial" w:eastAsia="Arial" w:hAnsi="Arial" w:cs="Arial"/>
                <w:b/>
                <w:i w:val="0"/>
                <w:strike w:val="0"/>
                <w:color w:val="000000"/>
                <w:sz w:val="13"/>
                <w:u w:val="none"/>
                <w:vertAlign w:val="baseline"/>
              </w:rPr>
              <w:t>-6</w:t>
            </w:r>
            <w:bookmarkStart w:id="221" w:name="XBRL_CE_a6112ecd69fa43e797f7c602271d0914"/>
            <w:bookmarkEnd w:id="220"/>
            <w:bookmarkEnd w:id="221"/>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Associates and joint ventures, share of other comprehensive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22" w:name="XBRL_CS_5232c3918f8245acaf0e05d64fde58a8"/>
            <w:bookmarkEnd w:id="222"/>
            <w:bookmarkStart w:id="223" w:name="5232c3918f8245acaf0e05d64fde58a8"/>
            <w:r>
              <w:rPr>
                <w:rFonts w:ascii="Arial" w:eastAsia="Arial" w:hAnsi="Arial" w:cs="Arial"/>
                <w:b/>
                <w:i w:val="0"/>
                <w:strike w:val="0"/>
                <w:color w:val="000000"/>
                <w:sz w:val="13"/>
                <w:u w:val="none"/>
                <w:vertAlign w:val="baseline"/>
              </w:rPr>
              <w:t>-2</w:t>
            </w:r>
            <w:bookmarkStart w:id="224" w:name="XBRL_CE_5232c3918f8245acaf0e05d64fde58a8"/>
            <w:bookmarkEnd w:id="223"/>
            <w:bookmarkEnd w:id="224"/>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25" w:name="XBRL_CS_fe06667f6eb34307ae223f48d0af4aac"/>
            <w:bookmarkEnd w:id="225"/>
            <w:bookmarkStart w:id="226" w:name="fe06667f6eb34307ae223f48d0af4aac"/>
            <w:r>
              <w:rPr>
                <w:rFonts w:ascii="Arial" w:eastAsia="Arial" w:hAnsi="Arial" w:cs="Arial"/>
                <w:b w:val="0"/>
                <w:i w:val="0"/>
                <w:strike w:val="0"/>
                <w:color w:val="000000"/>
                <w:sz w:val="13"/>
                <w:u w:val="none"/>
                <w:vertAlign w:val="baseline"/>
              </w:rPr>
              <w:t>-1</w:t>
            </w:r>
            <w:bookmarkStart w:id="227" w:name="XBRL_CE_fe06667f6eb34307ae223f48d0af4aac"/>
            <w:bookmarkEnd w:id="226"/>
            <w:bookmarkEnd w:id="227"/>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hedges</w:t>
            </w:r>
          </w:p>
        </w:tc>
        <w:tc>
          <w:tcPr>
            <w:tcW w:w="1200"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measured at fair value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28" w:name="XBRL_CS_2b2bc83554834d518829e4cca125f3b4"/>
            <w:bookmarkEnd w:id="228"/>
            <w:bookmarkStart w:id="229" w:name="2b2bc83554834d518829e4cca125f3b4"/>
            <w:r>
              <w:rPr>
                <w:rFonts w:ascii="Arial" w:eastAsia="Arial" w:hAnsi="Arial" w:cs="Arial"/>
                <w:b/>
                <w:i w:val="0"/>
                <w:strike w:val="0"/>
                <w:color w:val="000000"/>
                <w:sz w:val="13"/>
                <w:u w:val="none"/>
                <w:vertAlign w:val="baseline"/>
              </w:rPr>
              <w:t>-3</w:t>
            </w:r>
            <w:bookmarkStart w:id="230" w:name="XBRL_CE_2b2bc83554834d518829e4cca125f3b4"/>
            <w:bookmarkEnd w:id="229"/>
            <w:bookmarkEnd w:id="230"/>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31" w:name="XBRL_CS_36e0d8840968423b92267325d347507e"/>
            <w:bookmarkEnd w:id="231"/>
            <w:bookmarkStart w:id="232" w:name="36e0d8840968423b92267325d347507e"/>
            <w:r>
              <w:rPr>
                <w:rFonts w:ascii="Arial" w:eastAsia="Arial" w:hAnsi="Arial" w:cs="Arial"/>
                <w:b w:val="0"/>
                <w:i w:val="0"/>
                <w:strike w:val="0"/>
                <w:color w:val="000000"/>
                <w:sz w:val="13"/>
                <w:u w:val="none"/>
                <w:vertAlign w:val="baseline"/>
              </w:rPr>
              <w:t>4</w:t>
            </w:r>
            <w:bookmarkStart w:id="233" w:name="XBRL_CE_36e0d8840968423b92267325d347507e"/>
            <w:bookmarkEnd w:id="232"/>
            <w:bookmarkEnd w:id="233"/>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transferred to the statement of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34" w:name="XBRL_CS_a46011f2fddb4c758206379e91bfce9b"/>
            <w:bookmarkEnd w:id="234"/>
            <w:bookmarkStart w:id="235" w:name="a46011f2fddb4c758206379e91bfce9b"/>
            <w:r>
              <w:rPr>
                <w:rFonts w:ascii="Arial" w:eastAsia="Arial" w:hAnsi="Arial" w:cs="Arial"/>
                <w:b/>
                <w:i w:val="0"/>
                <w:strike w:val="0"/>
                <w:color w:val="000000"/>
                <w:sz w:val="13"/>
                <w:u w:val="none"/>
                <w:vertAlign w:val="baseline"/>
              </w:rPr>
              <w:t>6</w:t>
            </w:r>
            <w:bookmarkStart w:id="236" w:name="XBRL_CE_a46011f2fddb4c758206379e91bfce9b"/>
            <w:bookmarkEnd w:id="235"/>
            <w:bookmarkEnd w:id="236"/>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37" w:name="XBRL_CS_fe0e960456d641efb6d98e007b4cdff2"/>
            <w:bookmarkEnd w:id="237"/>
            <w:bookmarkStart w:id="238" w:name="fe0e960456d641efb6d98e007b4cdff2"/>
            <w:r>
              <w:rPr>
                <w:rFonts w:ascii="Arial" w:eastAsia="Arial" w:hAnsi="Arial" w:cs="Arial"/>
                <w:b w:val="0"/>
                <w:i w:val="0"/>
                <w:strike w:val="0"/>
                <w:color w:val="000000"/>
                <w:sz w:val="13"/>
                <w:u w:val="none"/>
                <w:vertAlign w:val="baseline"/>
              </w:rPr>
              <w:t>19</w:t>
            </w:r>
            <w:bookmarkStart w:id="239" w:name="XBRL_CE_fe0e960456d641efb6d98e007b4cdff2"/>
            <w:bookmarkEnd w:id="238"/>
            <w:bookmarkEnd w:id="239"/>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Tax on items that may be reclassified to the statement of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hedges</w:t>
            </w:r>
          </w:p>
        </w:tc>
        <w:tc>
          <w:tcPr>
            <w:tcW w:w="1200"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nil"/>
              <w:left w:val="nil"/>
              <w:bottom w:val="single" w:sz="8" w:space="0" w:color="0F172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transferred to the statement of income</w:t>
            </w:r>
          </w:p>
        </w:tc>
        <w:tc>
          <w:tcPr>
            <w:tcW w:w="120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40" w:name="XBRL_CS_3ec2b0325a03487ea77a39a21822896b"/>
            <w:bookmarkEnd w:id="240"/>
            <w:bookmarkStart w:id="241" w:name="3ec2b0325a03487ea77a39a21822896b"/>
            <w:r>
              <w:rPr>
                <w:rFonts w:ascii="Arial" w:eastAsia="Arial" w:hAnsi="Arial" w:cs="Arial"/>
                <w:b/>
                <w:i w:val="0"/>
                <w:strike w:val="0"/>
                <w:color w:val="000000"/>
                <w:sz w:val="13"/>
                <w:u w:val="none"/>
                <w:vertAlign w:val="baseline"/>
              </w:rPr>
              <w:t>-1</w:t>
            </w:r>
            <w:bookmarkStart w:id="242" w:name="XBRL_CE_3ec2b0325a03487ea77a39a21822896b"/>
            <w:bookmarkEnd w:id="241"/>
            <w:bookmarkEnd w:id="242"/>
          </w:p>
        </w:tc>
        <w:tc>
          <w:tcPr>
            <w:tcW w:w="120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43" w:name="XBRL_CS_3ed9934bacde40cd9737e8a9b2e6f597"/>
            <w:bookmarkEnd w:id="243"/>
            <w:bookmarkStart w:id="244" w:name="3ed9934bacde40cd9737e8a9b2e6f597"/>
            <w:r>
              <w:rPr>
                <w:rFonts w:ascii="Arial" w:eastAsia="Arial" w:hAnsi="Arial" w:cs="Arial"/>
                <w:b w:val="0"/>
                <w:i w:val="0"/>
                <w:strike w:val="0"/>
                <w:color w:val="000000"/>
                <w:sz w:val="13"/>
                <w:u w:val="none"/>
                <w:vertAlign w:val="baseline"/>
              </w:rPr>
              <w:t>-4</w:t>
            </w:r>
            <w:bookmarkStart w:id="245" w:name="XBRL_CE_3ed9934bacde40cd9737e8a9b2e6f597"/>
            <w:bookmarkEnd w:id="244"/>
            <w:bookmarkEnd w:id="245"/>
          </w:p>
        </w:tc>
        <w:tc>
          <w:tcPr>
            <w:tcW w:w="108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items that may be reclassified to the statement of income</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46" w:name="XBRL_CS_31df15d0faf7495bb953cfdccfe7fb0c"/>
            <w:bookmarkEnd w:id="246"/>
            <w:bookmarkStart w:id="247" w:name="31df15d0faf7495bb953cfdccfe7fb0c"/>
            <w:r>
              <w:rPr>
                <w:rFonts w:ascii="Arial" w:eastAsia="Arial" w:hAnsi="Arial" w:cs="Arial"/>
                <w:b/>
                <w:i w:val="0"/>
                <w:strike w:val="0"/>
                <w:color w:val="000000"/>
                <w:sz w:val="13"/>
                <w:u w:val="none"/>
                <w:vertAlign w:val="baseline"/>
              </w:rPr>
              <w:t>-81</w:t>
            </w:r>
            <w:bookmarkStart w:id="248" w:name="XBRL_CE_31df15d0faf7495bb953cfdccfe7fb0c"/>
            <w:bookmarkEnd w:id="247"/>
            <w:bookmarkEnd w:id="248"/>
          </w:p>
        </w:tc>
        <w:tc>
          <w:tcPr>
            <w:tcW w:w="120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49" w:name="XBRL_CS_16ecfde25ac64e5db85e43f6cec36dd9"/>
            <w:bookmarkEnd w:id="249"/>
            <w:bookmarkStart w:id="250" w:name="16ecfde25ac64e5db85e43f6cec36dd9"/>
            <w:r>
              <w:rPr>
                <w:rFonts w:ascii="Arial" w:eastAsia="Arial" w:hAnsi="Arial" w:cs="Arial"/>
                <w:b w:val="0"/>
                <w:i w:val="0"/>
                <w:strike w:val="0"/>
                <w:color w:val="000000"/>
                <w:sz w:val="13"/>
                <w:u w:val="none"/>
                <w:vertAlign w:val="baseline"/>
              </w:rPr>
              <w:t>60</w:t>
            </w:r>
            <w:bookmarkStart w:id="251" w:name="XBRL_CE_16ecfde25ac64e5db85e43f6cec36dd9"/>
            <w:bookmarkEnd w:id="250"/>
            <w:bookmarkEnd w:id="251"/>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 comprehensive income for the financial period, net of taxes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52" w:name="XBRL_CS_9d5aa370282c4a45926a1eb1079f5105"/>
            <w:bookmarkEnd w:id="252"/>
            <w:bookmarkStart w:id="253" w:name="9d5aa370282c4a45926a1eb1079f5105"/>
            <w:r>
              <w:rPr>
                <w:rFonts w:ascii="Arial" w:eastAsia="Arial" w:hAnsi="Arial" w:cs="Arial"/>
                <w:b/>
                <w:i w:val="0"/>
                <w:strike w:val="0"/>
                <w:color w:val="000000"/>
                <w:sz w:val="13"/>
                <w:u w:val="none"/>
                <w:vertAlign w:val="baseline"/>
              </w:rPr>
              <w:t>-76</w:t>
            </w:r>
            <w:bookmarkStart w:id="254" w:name="XBRL_CE_9d5aa370282c4a45926a1eb1079f5105"/>
            <w:bookmarkEnd w:id="253"/>
            <w:bookmarkEnd w:id="254"/>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55" w:name="XBRL_CS_ba314b925f2b48929fb8d75419270010"/>
            <w:bookmarkEnd w:id="255"/>
            <w:bookmarkStart w:id="256" w:name="ba314b925f2b48929fb8d75419270010"/>
            <w:r>
              <w:rPr>
                <w:rFonts w:ascii="Arial" w:eastAsia="Arial" w:hAnsi="Arial" w:cs="Arial"/>
                <w:b w:val="0"/>
                <w:i w:val="0"/>
                <w:strike w:val="0"/>
                <w:color w:val="000000"/>
                <w:sz w:val="13"/>
                <w:u w:val="none"/>
                <w:vertAlign w:val="baseline"/>
              </w:rPr>
              <w:t>45</w:t>
            </w:r>
            <w:bookmarkStart w:id="257" w:name="XBRL_CE_ba314b925f2b48929fb8d75419270010"/>
            <w:bookmarkEnd w:id="256"/>
            <w:bookmarkEnd w:id="257"/>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comprehensive income for the financial period</w:t>
            </w:r>
          </w:p>
        </w:tc>
        <w:tc>
          <w:tcPr>
            <w:tcW w:w="120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58" w:name="XBRL_CS_73c9f8c3e2e64975a2c79bb2af01bad4"/>
            <w:bookmarkEnd w:id="258"/>
            <w:bookmarkStart w:id="259" w:name="73c9f8c3e2e64975a2c79bb2af01bad4"/>
            <w:r>
              <w:rPr>
                <w:rFonts w:ascii="Arial" w:eastAsia="Arial" w:hAnsi="Arial" w:cs="Arial"/>
                <w:b/>
                <w:i w:val="0"/>
                <w:strike w:val="0"/>
                <w:color w:val="000000"/>
                <w:sz w:val="13"/>
                <w:u w:val="none"/>
                <w:vertAlign w:val="baseline"/>
              </w:rPr>
              <w:t>57</w:t>
            </w:r>
            <w:bookmarkStart w:id="260" w:name="XBRL_CE_73c9f8c3e2e64975a2c79bb2af01bad4"/>
            <w:bookmarkEnd w:id="259"/>
            <w:bookmarkEnd w:id="260"/>
          </w:p>
        </w:tc>
        <w:tc>
          <w:tcPr>
            <w:tcW w:w="120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61" w:name="XBRL_CS_2562d237186d4c989fd64a8c5bade1f5"/>
            <w:bookmarkEnd w:id="261"/>
            <w:bookmarkStart w:id="262" w:name="2562d237186d4c989fd64a8c5bade1f5"/>
            <w:r>
              <w:rPr>
                <w:rFonts w:ascii="Arial" w:eastAsia="Arial" w:hAnsi="Arial" w:cs="Arial"/>
                <w:b w:val="0"/>
                <w:i w:val="0"/>
                <w:strike w:val="0"/>
                <w:color w:val="000000"/>
                <w:sz w:val="13"/>
                <w:u w:val="none"/>
                <w:vertAlign w:val="baseline"/>
              </w:rPr>
              <w:t>263</w:t>
            </w:r>
            <w:bookmarkStart w:id="263" w:name="XBRL_CE_2562d237186d4c989fd64a8c5bade1f5"/>
            <w:bookmarkEnd w:id="262"/>
            <w:bookmarkEnd w:id="263"/>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Total comprehensive income attributable to:</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equity holders of the parent company</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64" w:name="XBRL_CS_ca1351c60d9e460a87c6cce79e897108"/>
            <w:bookmarkEnd w:id="264"/>
            <w:bookmarkStart w:id="265" w:name="ca1351c60d9e460a87c6cce79e897108"/>
            <w:r>
              <w:rPr>
                <w:rFonts w:ascii="Arial" w:eastAsia="Arial" w:hAnsi="Arial" w:cs="Arial"/>
                <w:b/>
                <w:i w:val="0"/>
                <w:strike w:val="0"/>
                <w:color w:val="000000"/>
                <w:sz w:val="13"/>
                <w:u w:val="none"/>
                <w:vertAlign w:val="baseline"/>
              </w:rPr>
              <w:t>59</w:t>
            </w:r>
            <w:bookmarkStart w:id="266" w:name="XBRL_CE_ca1351c60d9e460a87c6cce79e897108"/>
            <w:bookmarkEnd w:id="265"/>
            <w:bookmarkEnd w:id="266"/>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67" w:name="XBRL_CS_019b2b0bba554f36821c9a08688f7cc7"/>
            <w:bookmarkEnd w:id="267"/>
            <w:bookmarkStart w:id="268" w:name="019b2b0bba554f36821c9a08688f7cc7"/>
            <w:r>
              <w:rPr>
                <w:rFonts w:ascii="Arial" w:eastAsia="Arial" w:hAnsi="Arial" w:cs="Arial"/>
                <w:b w:val="0"/>
                <w:i w:val="0"/>
                <w:strike w:val="0"/>
                <w:color w:val="000000"/>
                <w:sz w:val="13"/>
                <w:u w:val="none"/>
                <w:vertAlign w:val="baseline"/>
              </w:rPr>
              <w:t>262</w:t>
            </w:r>
            <w:bookmarkStart w:id="269" w:name="XBRL_CE_019b2b0bba554f36821c9a08688f7cc7"/>
            <w:bookmarkEnd w:id="268"/>
            <w:bookmarkEnd w:id="269"/>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non-controlling interests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70" w:name="XBRL_CS_9a8d312037b148d9ac3f2fa617a47f6c"/>
            <w:bookmarkEnd w:id="270"/>
            <w:bookmarkStart w:id="271" w:name="9a8d312037b148d9ac3f2fa617a47f6c"/>
            <w:r>
              <w:rPr>
                <w:rFonts w:ascii="Arial" w:eastAsia="Arial" w:hAnsi="Arial" w:cs="Arial"/>
                <w:b/>
                <w:i w:val="0"/>
                <w:strike w:val="0"/>
                <w:color w:val="000000"/>
                <w:sz w:val="13"/>
                <w:u w:val="none"/>
                <w:vertAlign w:val="baseline"/>
              </w:rPr>
              <w:t>-1</w:t>
            </w:r>
            <w:bookmarkStart w:id="272" w:name="XBRL_CE_9a8d312037b148d9ac3f2fa617a47f6c"/>
            <w:bookmarkEnd w:id="271"/>
            <w:bookmarkEnd w:id="272"/>
          </w:p>
        </w:tc>
        <w:tc>
          <w:tcPr>
            <w:tcW w:w="120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73" w:name="XBRL_CS_15ffa72b3fdb48b4a4fcbd9a7b06c12a"/>
            <w:bookmarkEnd w:id="273"/>
            <w:bookmarkStart w:id="274" w:name="15ffa72b3fdb48b4a4fcbd9a7b06c12a"/>
            <w:r>
              <w:rPr>
                <w:rFonts w:ascii="Arial" w:eastAsia="Arial" w:hAnsi="Arial" w:cs="Arial"/>
                <w:b w:val="0"/>
                <w:i w:val="0"/>
                <w:strike w:val="0"/>
                <w:color w:val="000000"/>
                <w:sz w:val="13"/>
                <w:u w:val="none"/>
                <w:vertAlign w:val="baseline"/>
              </w:rPr>
              <w:t>1</w:t>
            </w:r>
            <w:bookmarkStart w:id="275" w:name="XBRL_CE_15ffa72b3fdb48b4a4fcbd9a7b06c12a"/>
            <w:bookmarkEnd w:id="274"/>
            <w:bookmarkEnd w:id="275"/>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76" w:name="XBRL_CS_4f99d937c8064b5fb44f1510efb9ca5b"/>
            <w:bookmarkEnd w:id="276"/>
            <w:bookmarkStart w:id="277" w:name="4f99d937c8064b5fb44f1510efb9ca5b"/>
            <w:r>
              <w:rPr>
                <w:rFonts w:ascii="Arial" w:eastAsia="Arial" w:hAnsi="Arial" w:cs="Arial"/>
                <w:b/>
                <w:i w:val="0"/>
                <w:strike w:val="0"/>
                <w:color w:val="000000"/>
                <w:sz w:val="13"/>
                <w:u w:val="none"/>
                <w:vertAlign w:val="baseline"/>
              </w:rPr>
              <w:t>57</w:t>
            </w:r>
            <w:bookmarkStart w:id="278" w:name="XBRL_CE_4f99d937c8064b5fb44f1510efb9ca5b"/>
            <w:bookmarkEnd w:id="277"/>
            <w:bookmarkEnd w:id="278"/>
          </w:p>
        </w:tc>
        <w:tc>
          <w:tcPr>
            <w:tcW w:w="120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79" w:name="XBRL_CS_512f3814ea584aea9025216f526bfd0d"/>
            <w:bookmarkEnd w:id="279"/>
            <w:bookmarkStart w:id="280" w:name="512f3814ea584aea9025216f526bfd0d"/>
            <w:r>
              <w:rPr>
                <w:rFonts w:ascii="Arial" w:eastAsia="Arial" w:hAnsi="Arial" w:cs="Arial"/>
                <w:b w:val="0"/>
                <w:i w:val="0"/>
                <w:strike w:val="0"/>
                <w:color w:val="000000"/>
                <w:sz w:val="13"/>
                <w:u w:val="none"/>
                <w:vertAlign w:val="baseline"/>
              </w:rPr>
              <w:t>263</w:t>
            </w:r>
            <w:bookmarkStart w:id="281" w:name="XBRL_CE_512f3814ea584aea9025216f526bfd0d"/>
            <w:bookmarkEnd w:id="280"/>
            <w:bookmarkEnd w:id="281"/>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bl>
    <w:p w:rsidR="002941DE" w:rsidP="00E75286" w14:paraId="79C60DCA" w14:textId="77777777">
      <w:pPr>
        <w:pStyle w:val="Bodytext2"/>
      </w:pPr>
      <w:bookmarkStart w:id="282" w:name="RG_MARKER_4496"/>
      <w:bookmarkEnd w:id="282"/>
    </w:p>
    <w:p w:rsidR="00E75286" w:rsidRPr="00CC289E" w:rsidP="00E75286" w14:textId="356B8B26">
      <w:pPr>
        <w:pStyle w:val="Bodytext2"/>
        <w:rPr>
          <w:sz w:val="2"/>
          <w:szCs w:val="2"/>
        </w:rPr>
      </w:pPr>
      <w:r w:rsidRPr="00E75286">
        <w:t>The notes are an integral part of these consolidated financial statements.</w:t>
      </w:r>
      <w:r>
        <w:br w:type="column"/>
      </w:r>
    </w:p>
    <w:p w:rsidR="00E2052E" w:rsidRPr="00F05ECB" w:rsidP="004B050E" w14:paraId="45B3FCB8" w14:textId="3FA062A1">
      <w:pPr>
        <w:pStyle w:val="Heading10"/>
        <w:rPr>
          <w:sz w:val="2"/>
          <w:szCs w:val="2"/>
        </w:rPr>
      </w:pPr>
      <w:bookmarkStart w:id="283" w:name="RG_MARKER_4198"/>
      <w:r w:rsidRPr="00E2052E">
        <w:t>CONSOLIDATED STATEMENT OF FINANCIAL POSITION</w:t>
      </w:r>
      <w:bookmarkEnd w:id="283"/>
    </w:p>
    <w:p/>
    <w:tbl>
      <w:tblPr>
        <w:tblStyle w:val="CDMRange1"/>
        <w:tblW w:w="7365" w:type="dxa"/>
        <w:tblLayout w:type="fixed"/>
        <w:tblLook w:val="0600"/>
      </w:tblPr>
      <w:tblGrid>
        <w:gridCol w:w="3885"/>
        <w:gridCol w:w="1200"/>
        <w:gridCol w:w="1200"/>
        <w:gridCol w:w="1080"/>
      </w:tblGrid>
      <w:tr>
        <w:tblPrEx>
          <w:tblW w:w="7365" w:type="dxa"/>
          <w:tblLayout w:type="fixed"/>
          <w:tblLook w:val="0600"/>
        </w:tblPrEx>
        <w:trPr>
          <w:trHeight w:hRule="exact" w:val="225"/>
        </w:trPr>
        <w:tc>
          <w:tcPr>
            <w:tcW w:w="38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0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31.12.2020</w:t>
            </w:r>
          </w:p>
        </w:tc>
        <w:tc>
          <w:tcPr>
            <w:tcW w:w="120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31.12.2019</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Note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1200"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assets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Goodwill</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84" w:name="XBRL_CS_1e9b1d1bf5a643f6a5d348e7d25cf3b5"/>
            <w:bookmarkEnd w:id="284"/>
            <w:bookmarkStart w:id="285" w:name="1e9b1d1bf5a643f6a5d348e7d25cf3b5"/>
            <w:r>
              <w:rPr>
                <w:rFonts w:ascii="Arial" w:eastAsia="Arial" w:hAnsi="Arial" w:cs="Arial"/>
                <w:b/>
                <w:i w:val="0"/>
                <w:strike w:val="0"/>
                <w:color w:val="000000"/>
                <w:sz w:val="13"/>
                <w:u w:val="none"/>
                <w:vertAlign w:val="baseline"/>
              </w:rPr>
              <w:t>1,325</w:t>
            </w:r>
            <w:bookmarkStart w:id="286" w:name="XBRL_CE_1e9b1d1bf5a643f6a5d348e7d25cf3b5"/>
            <w:bookmarkEnd w:id="285"/>
            <w:bookmarkEnd w:id="286"/>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87" w:name="XBRL_CS_573ae0f0c62e4f5ca8c927a047405d18"/>
            <w:bookmarkEnd w:id="287"/>
            <w:bookmarkStart w:id="288" w:name="573ae0f0c62e4f5ca8c927a047405d18"/>
            <w:r>
              <w:rPr>
                <w:rFonts w:ascii="Arial" w:eastAsia="Arial" w:hAnsi="Arial" w:cs="Arial"/>
                <w:b w:val="0"/>
                <w:i w:val="0"/>
                <w:strike w:val="0"/>
                <w:color w:val="000000"/>
                <w:sz w:val="13"/>
                <w:u w:val="none"/>
                <w:vertAlign w:val="baseline"/>
              </w:rPr>
              <w:t>1,380</w:t>
            </w:r>
            <w:bookmarkStart w:id="289" w:name="XBRL_CE_573ae0f0c62e4f5ca8c927a047405d18"/>
            <w:bookmarkEnd w:id="288"/>
            <w:bookmarkEnd w:id="289"/>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3.1.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Intangible assets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90" w:name="XBRL_CS_ae9cdd8f75e2474380aaca609f700264"/>
            <w:bookmarkEnd w:id="290"/>
            <w:bookmarkStart w:id="291" w:name="ae9cdd8f75e2474380aaca609f700264"/>
            <w:r>
              <w:rPr>
                <w:rFonts w:ascii="Arial" w:eastAsia="Arial" w:hAnsi="Arial" w:cs="Arial"/>
                <w:b/>
                <w:i w:val="0"/>
                <w:strike w:val="0"/>
                <w:color w:val="000000"/>
                <w:sz w:val="13"/>
                <w:u w:val="none"/>
                <w:vertAlign w:val="baseline"/>
              </w:rPr>
              <w:t>391</w:t>
            </w:r>
            <w:bookmarkStart w:id="292" w:name="XBRL_CE_ae9cdd8f75e2474380aaca609f700264"/>
            <w:bookmarkEnd w:id="291"/>
            <w:bookmarkEnd w:id="292"/>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93" w:name="XBRL_CS_beb729e11f0b45bb9ecb2f7ffddc34fb"/>
            <w:bookmarkEnd w:id="293"/>
            <w:bookmarkStart w:id="294" w:name="beb729e11f0b45bb9ecb2f7ffddc34fb"/>
            <w:r>
              <w:rPr>
                <w:rFonts w:ascii="Arial" w:eastAsia="Arial" w:hAnsi="Arial" w:cs="Arial"/>
                <w:b w:val="0"/>
                <w:i w:val="0"/>
                <w:strike w:val="0"/>
                <w:color w:val="000000"/>
                <w:sz w:val="13"/>
                <w:u w:val="none"/>
                <w:vertAlign w:val="baseline"/>
              </w:rPr>
              <w:t>397</w:t>
            </w:r>
            <w:bookmarkStart w:id="295" w:name="XBRL_CE_beb729e11f0b45bb9ecb2f7ffddc34fb"/>
            <w:bookmarkEnd w:id="294"/>
            <w:bookmarkEnd w:id="295"/>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3.2.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Property, plant and equipment</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296" w:name="XBRL_CS_53c640bb2c54446391489a582b80549e"/>
            <w:bookmarkEnd w:id="296"/>
            <w:bookmarkStart w:id="297" w:name="53c640bb2c54446391489a582b80549e"/>
            <w:r>
              <w:rPr>
                <w:rFonts w:ascii="Arial" w:eastAsia="Arial" w:hAnsi="Arial" w:cs="Arial"/>
                <w:b/>
                <w:i w:val="0"/>
                <w:strike w:val="0"/>
                <w:color w:val="000000"/>
                <w:sz w:val="13"/>
                <w:u w:val="none"/>
                <w:vertAlign w:val="baseline"/>
              </w:rPr>
              <w:t>282</w:t>
            </w:r>
            <w:bookmarkStart w:id="298" w:name="XBRL_CE_53c640bb2c54446391489a582b80549e"/>
            <w:bookmarkEnd w:id="297"/>
            <w:bookmarkEnd w:id="298"/>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299" w:name="XBRL_CS_57ff98d2df0c43b083e2963b3c2ec8ee"/>
            <w:bookmarkEnd w:id="299"/>
            <w:bookmarkStart w:id="300" w:name="57ff98d2df0c43b083e2963b3c2ec8ee"/>
            <w:r>
              <w:rPr>
                <w:rFonts w:ascii="Arial" w:eastAsia="Arial" w:hAnsi="Arial" w:cs="Arial"/>
                <w:b w:val="0"/>
                <w:i w:val="0"/>
                <w:strike w:val="0"/>
                <w:color w:val="000000"/>
                <w:sz w:val="13"/>
                <w:u w:val="none"/>
                <w:vertAlign w:val="baseline"/>
              </w:rPr>
              <w:t>307</w:t>
            </w:r>
            <w:bookmarkStart w:id="301" w:name="XBRL_CE_57ff98d2df0c43b083e2963b3c2ec8ee"/>
            <w:bookmarkEnd w:id="300"/>
            <w:bookmarkEnd w:id="301"/>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3.3.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Right-of-use assets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02" w:name="XBRL_CS_92394345012c4e999c471594713bf7f7"/>
            <w:bookmarkEnd w:id="302"/>
            <w:bookmarkStart w:id="303" w:name="92394345012c4e999c471594713bf7f7"/>
            <w:r>
              <w:rPr>
                <w:rFonts w:ascii="Arial" w:eastAsia="Arial" w:hAnsi="Arial" w:cs="Arial"/>
                <w:b/>
                <w:i w:val="0"/>
                <w:strike w:val="0"/>
                <w:color w:val="000000"/>
                <w:sz w:val="13"/>
                <w:u w:val="none"/>
                <w:vertAlign w:val="baseline"/>
              </w:rPr>
              <w:t>162</w:t>
            </w:r>
            <w:bookmarkStart w:id="304" w:name="XBRL_CE_92394345012c4e999c471594713bf7f7"/>
            <w:bookmarkEnd w:id="303"/>
            <w:bookmarkEnd w:id="304"/>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05" w:name="XBRL_CS_3bf21ee7a3304e948666d7881198d8be"/>
            <w:bookmarkEnd w:id="305"/>
            <w:bookmarkStart w:id="306" w:name="3bf21ee7a3304e948666d7881198d8be"/>
            <w:r>
              <w:rPr>
                <w:rFonts w:ascii="Arial" w:eastAsia="Arial" w:hAnsi="Arial" w:cs="Arial"/>
                <w:b w:val="0"/>
                <w:i w:val="0"/>
                <w:strike w:val="0"/>
                <w:color w:val="000000"/>
                <w:sz w:val="13"/>
                <w:u w:val="none"/>
                <w:vertAlign w:val="baseline"/>
              </w:rPr>
              <w:t>185</w:t>
            </w:r>
            <w:bookmarkStart w:id="307" w:name="XBRL_CE_3bf21ee7a3304e948666d7881198d8be"/>
            <w:bookmarkEnd w:id="306"/>
            <w:bookmarkEnd w:id="307"/>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3.4.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Investments in associates and joint ventures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08" w:name="XBRL_CS_c8e1d544f135420c9cdd8f27d0a47640"/>
            <w:bookmarkEnd w:id="308"/>
            <w:bookmarkStart w:id="309" w:name="c8e1d544f135420c9cdd8f27d0a47640"/>
            <w:r>
              <w:rPr>
                <w:rFonts w:ascii="Arial" w:eastAsia="Arial" w:hAnsi="Arial" w:cs="Arial"/>
                <w:b/>
                <w:i w:val="0"/>
                <w:strike w:val="0"/>
                <w:color w:val="000000"/>
                <w:sz w:val="13"/>
                <w:u w:val="none"/>
                <w:vertAlign w:val="baseline"/>
              </w:rPr>
              <w:t>23</w:t>
            </w:r>
            <w:bookmarkStart w:id="310" w:name="XBRL_CE_c8e1d544f135420c9cdd8f27d0a47640"/>
            <w:bookmarkEnd w:id="309"/>
            <w:bookmarkEnd w:id="310"/>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11" w:name="XBRL_CS_f944b1f7606b4f3097bfddf10453e86d"/>
            <w:bookmarkEnd w:id="311"/>
            <w:bookmarkStart w:id="312" w:name="f944b1f7606b4f3097bfddf10453e86d"/>
            <w:r>
              <w:rPr>
                <w:rFonts w:ascii="Arial" w:eastAsia="Arial" w:hAnsi="Arial" w:cs="Arial"/>
                <w:b w:val="0"/>
                <w:i w:val="0"/>
                <w:strike w:val="0"/>
                <w:color w:val="000000"/>
                <w:sz w:val="13"/>
                <w:u w:val="none"/>
                <w:vertAlign w:val="baseline"/>
              </w:rPr>
              <w:t>42</w:t>
            </w:r>
            <w:bookmarkStart w:id="313" w:name="XBRL_CE_f944b1f7606b4f3097bfddf10453e86d"/>
            <w:bookmarkEnd w:id="312"/>
            <w:bookmarkEnd w:id="313"/>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6.4.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investments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14" w:name="XBRL_CS_9971754c40f04a70b0328a84a3e3d33e"/>
            <w:bookmarkEnd w:id="314"/>
            <w:bookmarkStart w:id="315" w:name="9971754c40f04a70b0328a84a3e3d33e"/>
            <w:r>
              <w:rPr>
                <w:rFonts w:ascii="Arial" w:eastAsia="Arial" w:hAnsi="Arial" w:cs="Arial"/>
                <w:b/>
                <w:i w:val="0"/>
                <w:strike w:val="0"/>
                <w:color w:val="000000"/>
                <w:sz w:val="13"/>
                <w:u w:val="none"/>
                <w:vertAlign w:val="baseline"/>
              </w:rPr>
              <w:t>19</w:t>
            </w:r>
            <w:bookmarkStart w:id="316" w:name="XBRL_CE_9971754c40f04a70b0328a84a3e3d33e"/>
            <w:bookmarkEnd w:id="315"/>
            <w:bookmarkEnd w:id="316"/>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17" w:name="XBRL_CS_1f917950e0b147dbaaa9cff829af1b23"/>
            <w:bookmarkEnd w:id="317"/>
            <w:bookmarkStart w:id="318" w:name="1f917950e0b147dbaaa9cff829af1b23"/>
            <w:r>
              <w:rPr>
                <w:rFonts w:ascii="Arial" w:eastAsia="Arial" w:hAnsi="Arial" w:cs="Arial"/>
                <w:b w:val="0"/>
                <w:i w:val="0"/>
                <w:strike w:val="0"/>
                <w:color w:val="000000"/>
                <w:sz w:val="13"/>
                <w:u w:val="none"/>
                <w:vertAlign w:val="baseline"/>
              </w:rPr>
              <w:t>18</w:t>
            </w:r>
            <w:bookmarkStart w:id="319" w:name="XBRL_CE_1f917950e0b147dbaaa9cff829af1b23"/>
            <w:bookmarkEnd w:id="318"/>
            <w:bookmarkEnd w:id="319"/>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investments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20" w:name="XBRL_CS_6fd43ad231ae4a6eabc82272c287c141"/>
            <w:bookmarkEnd w:id="320"/>
            <w:bookmarkStart w:id="321" w:name="6fd43ad231ae4a6eabc82272c287c141"/>
            <w:r>
              <w:rPr>
                <w:rFonts w:ascii="Arial" w:eastAsia="Arial" w:hAnsi="Arial" w:cs="Arial"/>
                <w:b/>
                <w:i w:val="0"/>
                <w:strike w:val="0"/>
                <w:color w:val="000000"/>
                <w:sz w:val="13"/>
                <w:u w:val="none"/>
                <w:vertAlign w:val="baseline"/>
              </w:rPr>
              <w:t>1</w:t>
            </w:r>
            <w:bookmarkStart w:id="322" w:name="XBRL_CE_6fd43ad231ae4a6eabc82272c287c141"/>
            <w:bookmarkEnd w:id="321"/>
            <w:bookmarkEnd w:id="322"/>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23" w:name="XBRL_CS_ec4e39dfedc342a18ada0743fed125e0"/>
            <w:bookmarkEnd w:id="323"/>
            <w:bookmarkStart w:id="324" w:name="ec4e39dfedc342a18ada0743fed125e0"/>
            <w:r>
              <w:rPr>
                <w:rFonts w:ascii="Arial" w:eastAsia="Arial" w:hAnsi="Arial" w:cs="Arial"/>
                <w:b w:val="0"/>
                <w:i w:val="0"/>
                <w:strike w:val="0"/>
                <w:color w:val="000000"/>
                <w:sz w:val="13"/>
                <w:u w:val="none"/>
                <w:vertAlign w:val="baseline"/>
              </w:rPr>
              <w:t>1</w:t>
            </w:r>
            <w:bookmarkStart w:id="325" w:name="XBRL_CE_ec4e39dfedc342a18ada0743fed125e0"/>
            <w:bookmarkEnd w:id="324"/>
            <w:bookmarkEnd w:id="325"/>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Deferred tax assets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26" w:name="XBRL_CS_2f9c0626144c45718e560fc20cf2245a"/>
            <w:bookmarkEnd w:id="326"/>
            <w:bookmarkStart w:id="327" w:name="2f9c0626144c45718e560fc20cf2245a"/>
            <w:r>
              <w:rPr>
                <w:rFonts w:ascii="Arial" w:eastAsia="Arial" w:hAnsi="Arial" w:cs="Arial"/>
                <w:b/>
                <w:i w:val="0"/>
                <w:strike w:val="0"/>
                <w:color w:val="000000"/>
                <w:sz w:val="13"/>
                <w:u w:val="none"/>
                <w:vertAlign w:val="baseline"/>
              </w:rPr>
              <w:t>183</w:t>
            </w:r>
            <w:bookmarkStart w:id="328" w:name="XBRL_CE_2f9c0626144c45718e560fc20cf2245a"/>
            <w:bookmarkEnd w:id="327"/>
            <w:bookmarkEnd w:id="328"/>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29" w:name="XBRL_CS_7ea0b9b88b3b48d4902154b491eec1d1"/>
            <w:bookmarkEnd w:id="329"/>
            <w:bookmarkStart w:id="330" w:name="7ea0b9b88b3b48d4902154b491eec1d1"/>
            <w:r>
              <w:rPr>
                <w:rFonts w:ascii="Arial" w:eastAsia="Arial" w:hAnsi="Arial" w:cs="Arial"/>
                <w:b w:val="0"/>
                <w:i w:val="0"/>
                <w:strike w:val="0"/>
                <w:color w:val="000000"/>
                <w:sz w:val="13"/>
                <w:u w:val="none"/>
                <w:vertAlign w:val="baseline"/>
              </w:rPr>
              <w:t>155</w:t>
            </w:r>
            <w:bookmarkStart w:id="331" w:name="XBRL_CE_7ea0b9b88b3b48d4902154b491eec1d1"/>
            <w:bookmarkEnd w:id="330"/>
            <w:bookmarkEnd w:id="331"/>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32" w:name="XBRL_CS_cbf7d8ff841f49d6a668e622577c3a2a"/>
            <w:bookmarkEnd w:id="332"/>
            <w:bookmarkStart w:id="333" w:name="cbf7d8ff841f49d6a668e622577c3a2a"/>
            <w:r>
              <w:rPr>
                <w:rFonts w:ascii="Arial" w:eastAsia="Arial" w:hAnsi="Arial" w:cs="Arial"/>
                <w:b/>
                <w:i w:val="0"/>
                <w:strike w:val="0"/>
                <w:color w:val="000000"/>
                <w:sz w:val="13"/>
                <w:u w:val="none"/>
                <w:vertAlign w:val="baseline"/>
              </w:rPr>
              <w:t>30</w:t>
            </w:r>
            <w:bookmarkStart w:id="334" w:name="XBRL_CE_cbf7d8ff841f49d6a668e622577c3a2a"/>
            <w:bookmarkEnd w:id="333"/>
            <w:bookmarkEnd w:id="334"/>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35" w:name="XBRL_CS_f1f1d84bb385469585c21f4d6d39de34"/>
            <w:bookmarkEnd w:id="335"/>
            <w:bookmarkStart w:id="336" w:name="f1f1d84bb385469585c21f4d6d39de34"/>
            <w:r>
              <w:rPr>
                <w:rFonts w:ascii="Arial" w:eastAsia="Arial" w:hAnsi="Arial" w:cs="Arial"/>
                <w:b w:val="0"/>
                <w:i w:val="0"/>
                <w:strike w:val="0"/>
                <w:color w:val="000000"/>
                <w:sz w:val="13"/>
                <w:u w:val="none"/>
                <w:vertAlign w:val="baseline"/>
              </w:rPr>
              <w:t>19</w:t>
            </w:r>
            <w:bookmarkStart w:id="337" w:name="XBRL_CE_f1f1d84bb385469585c21f4d6d39de34"/>
            <w:bookmarkEnd w:id="336"/>
            <w:bookmarkEnd w:id="337"/>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4.2., 5.2.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38" w:name="XBRL_CS_06d02308ba5145a1ab018195c87a0a6c"/>
            <w:bookmarkEnd w:id="338"/>
            <w:bookmarkStart w:id="339" w:name="06d02308ba5145a1ab018195c87a0a6c"/>
            <w:r>
              <w:rPr>
                <w:rFonts w:ascii="Arial" w:eastAsia="Arial" w:hAnsi="Arial" w:cs="Arial"/>
                <w:b/>
                <w:i w:val="0"/>
                <w:strike w:val="0"/>
                <w:color w:val="000000"/>
                <w:sz w:val="13"/>
                <w:u w:val="none"/>
                <w:vertAlign w:val="baseline"/>
              </w:rPr>
              <w:t>11</w:t>
            </w:r>
            <w:bookmarkStart w:id="340" w:name="XBRL_CE_06d02308ba5145a1ab018195c87a0a6c"/>
            <w:bookmarkEnd w:id="339"/>
            <w:bookmarkEnd w:id="340"/>
          </w:p>
        </w:tc>
        <w:tc>
          <w:tcPr>
            <w:tcW w:w="120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41" w:name="XBRL_CS_ea717f5c7a064db288b09534f3d7784c"/>
            <w:bookmarkEnd w:id="341"/>
            <w:bookmarkStart w:id="342" w:name="ea717f5c7a064db288b09534f3d7784c"/>
            <w:r>
              <w:rPr>
                <w:rFonts w:ascii="Arial" w:eastAsia="Arial" w:hAnsi="Arial" w:cs="Arial"/>
                <w:b w:val="0"/>
                <w:i w:val="0"/>
                <w:strike w:val="0"/>
                <w:color w:val="000000"/>
                <w:sz w:val="13"/>
                <w:u w:val="none"/>
                <w:vertAlign w:val="baseline"/>
              </w:rPr>
              <w:t>15</w:t>
            </w:r>
            <w:bookmarkStart w:id="343" w:name="XBRL_CE_ea717f5c7a064db288b09534f3d7784c"/>
            <w:bookmarkEnd w:id="342"/>
            <w:bookmarkEnd w:id="343"/>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non-current assets</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44" w:name="XBRL_CS_244a114da2b540d29f8b362a47ece9ef"/>
            <w:bookmarkEnd w:id="344"/>
            <w:bookmarkStart w:id="345" w:name="244a114da2b540d29f8b362a47ece9ef"/>
            <w:r>
              <w:rPr>
                <w:rFonts w:ascii="Arial" w:eastAsia="Arial" w:hAnsi="Arial" w:cs="Arial"/>
                <w:b/>
                <w:i w:val="0"/>
                <w:strike w:val="0"/>
                <w:color w:val="000000"/>
                <w:sz w:val="13"/>
                <w:u w:val="none"/>
                <w:vertAlign w:val="baseline"/>
              </w:rPr>
              <w:t>2,427</w:t>
            </w:r>
            <w:bookmarkStart w:id="346" w:name="XBRL_CE_244a114da2b540d29f8b362a47ece9ef"/>
            <w:bookmarkEnd w:id="345"/>
            <w:bookmarkEnd w:id="346"/>
          </w:p>
        </w:tc>
        <w:tc>
          <w:tcPr>
            <w:tcW w:w="120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47" w:name="XBRL_CS_f98b67a831954bccae371a84e428ae45"/>
            <w:bookmarkEnd w:id="347"/>
            <w:bookmarkStart w:id="348" w:name="f98b67a831954bccae371a84e428ae45"/>
            <w:r>
              <w:rPr>
                <w:rFonts w:ascii="Arial" w:eastAsia="Arial" w:hAnsi="Arial" w:cs="Arial"/>
                <w:b w:val="0"/>
                <w:i w:val="0"/>
                <w:strike w:val="0"/>
                <w:color w:val="000000"/>
                <w:sz w:val="13"/>
                <w:u w:val="none"/>
                <w:vertAlign w:val="baseline"/>
              </w:rPr>
              <w:t>2,518</w:t>
            </w:r>
            <w:bookmarkStart w:id="349" w:name="XBRL_CE_f98b67a831954bccae371a84e428ae45"/>
            <w:bookmarkEnd w:id="348"/>
            <w:bookmarkEnd w:id="349"/>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assets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Inventories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50" w:name="XBRL_CS_339e310003554a5da2088aa384133be1"/>
            <w:bookmarkEnd w:id="350"/>
            <w:bookmarkStart w:id="351" w:name="339e310003554a5da2088aa384133be1"/>
            <w:r>
              <w:rPr>
                <w:rFonts w:ascii="Arial" w:eastAsia="Arial" w:hAnsi="Arial" w:cs="Arial"/>
                <w:b/>
                <w:i w:val="0"/>
                <w:strike w:val="0"/>
                <w:color w:val="000000"/>
                <w:sz w:val="13"/>
                <w:u w:val="none"/>
                <w:vertAlign w:val="baseline"/>
              </w:rPr>
              <w:t>1,192</w:t>
            </w:r>
            <w:bookmarkStart w:id="352" w:name="XBRL_CE_339e310003554a5da2088aa384133be1"/>
            <w:bookmarkEnd w:id="351"/>
            <w:bookmarkEnd w:id="352"/>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53" w:name="XBRL_CS_236ee9bd064a4fad9978f83a2702bdaa"/>
            <w:bookmarkEnd w:id="353"/>
            <w:bookmarkStart w:id="354" w:name="236ee9bd064a4fad9978f83a2702bdaa"/>
            <w:r>
              <w:rPr>
                <w:rFonts w:ascii="Arial" w:eastAsia="Arial" w:hAnsi="Arial" w:cs="Arial"/>
                <w:b w:val="0"/>
                <w:i w:val="0"/>
                <w:strike w:val="0"/>
                <w:color w:val="000000"/>
                <w:sz w:val="13"/>
                <w:u w:val="none"/>
                <w:vertAlign w:val="baseline"/>
              </w:rPr>
              <w:t>1,365</w:t>
            </w:r>
            <w:bookmarkStart w:id="355" w:name="XBRL_CE_236ee9bd064a4fad9978f83a2702bdaa"/>
            <w:bookmarkEnd w:id="354"/>
            <w:bookmarkEnd w:id="355"/>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56" w:name="XBRL_CS_7a8c95a0654e4c00830c99f2ec028035"/>
            <w:bookmarkEnd w:id="356"/>
            <w:bookmarkStart w:id="357" w:name="7a8c95a0654e4c00830c99f2ec028035"/>
            <w:r>
              <w:rPr>
                <w:rFonts w:ascii="Arial" w:eastAsia="Arial" w:hAnsi="Arial" w:cs="Arial"/>
                <w:b/>
                <w:i w:val="0"/>
                <w:strike w:val="0"/>
                <w:color w:val="000000"/>
                <w:sz w:val="13"/>
                <w:u w:val="none"/>
                <w:vertAlign w:val="baseline"/>
              </w:rPr>
              <w:t>922</w:t>
            </w:r>
            <w:bookmarkStart w:id="358" w:name="XBRL_CE_7a8c95a0654e4c00830c99f2ec028035"/>
            <w:bookmarkEnd w:id="357"/>
            <w:bookmarkEnd w:id="358"/>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59" w:name="XBRL_CS_9e49c30330e349d69b5187118ebcd6d1"/>
            <w:bookmarkEnd w:id="359"/>
            <w:bookmarkStart w:id="360" w:name="9e49c30330e349d69b5187118ebcd6d1"/>
            <w:r>
              <w:rPr>
                <w:rFonts w:ascii="Arial" w:eastAsia="Arial" w:hAnsi="Arial" w:cs="Arial"/>
                <w:b w:val="0"/>
                <w:i w:val="0"/>
                <w:strike w:val="0"/>
                <w:color w:val="000000"/>
                <w:sz w:val="13"/>
                <w:u w:val="none"/>
                <w:vertAlign w:val="baseline"/>
              </w:rPr>
              <w:t>1,237</w:t>
            </w:r>
            <w:bookmarkStart w:id="361" w:name="XBRL_CE_9e49c30330e349d69b5187118ebcd6d1"/>
            <w:bookmarkEnd w:id="360"/>
            <w:bookmarkEnd w:id="361"/>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4.2., 5.2.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 tax receivables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62" w:name="XBRL_CS_4f0a01ba25d54afc80fc3feeac998474"/>
            <w:bookmarkEnd w:id="362"/>
            <w:bookmarkStart w:id="363" w:name="4f0a01ba25d54afc80fc3feeac998474"/>
            <w:r>
              <w:rPr>
                <w:rFonts w:ascii="Arial" w:eastAsia="Arial" w:hAnsi="Arial" w:cs="Arial"/>
                <w:b/>
                <w:i w:val="0"/>
                <w:strike w:val="0"/>
                <w:color w:val="000000"/>
                <w:sz w:val="13"/>
                <w:u w:val="none"/>
                <w:vertAlign w:val="baseline"/>
              </w:rPr>
              <w:t>27</w:t>
            </w:r>
            <w:bookmarkStart w:id="364" w:name="XBRL_CE_4f0a01ba25d54afc80fc3feeac998474"/>
            <w:bookmarkEnd w:id="363"/>
            <w:bookmarkEnd w:id="364"/>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65" w:name="XBRL_CS_3aceb53cefec4183afd4a12f10e24134"/>
            <w:bookmarkEnd w:id="365"/>
            <w:bookmarkStart w:id="366" w:name="3aceb53cefec4183afd4a12f10e24134"/>
            <w:r>
              <w:rPr>
                <w:rFonts w:ascii="Arial" w:eastAsia="Arial" w:hAnsi="Arial" w:cs="Arial"/>
                <w:b w:val="0"/>
                <w:i w:val="0"/>
                <w:strike w:val="0"/>
                <w:color w:val="000000"/>
                <w:sz w:val="13"/>
                <w:u w:val="none"/>
                <w:vertAlign w:val="baseline"/>
              </w:rPr>
              <w:t>42</w:t>
            </w:r>
            <w:bookmarkStart w:id="367" w:name="XBRL_CE_3aceb53cefec4183afd4a12f10e24134"/>
            <w:bookmarkEnd w:id="366"/>
            <w:bookmarkEnd w:id="367"/>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Contract assets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68" w:name="XBRL_CS_80fc78e92702477f979e1222c9247910"/>
            <w:bookmarkEnd w:id="368"/>
            <w:bookmarkStart w:id="369" w:name="80fc78e92702477f979e1222c9247910"/>
            <w:r>
              <w:rPr>
                <w:rFonts w:ascii="Arial" w:eastAsia="Arial" w:hAnsi="Arial" w:cs="Arial"/>
                <w:b/>
                <w:i w:val="0"/>
                <w:strike w:val="0"/>
                <w:color w:val="000000"/>
                <w:sz w:val="13"/>
                <w:u w:val="none"/>
                <w:vertAlign w:val="baseline"/>
              </w:rPr>
              <w:t>389</w:t>
            </w:r>
            <w:bookmarkStart w:id="370" w:name="XBRL_CE_80fc78e92702477f979e1222c9247910"/>
            <w:bookmarkEnd w:id="369"/>
            <w:bookmarkEnd w:id="370"/>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71" w:name="XBRL_CS_7af3eee53ad048708b6a155285880a20"/>
            <w:bookmarkEnd w:id="371"/>
            <w:bookmarkStart w:id="372" w:name="7af3eee53ad048708b6a155285880a20"/>
            <w:r>
              <w:rPr>
                <w:rFonts w:ascii="Arial" w:eastAsia="Arial" w:hAnsi="Arial" w:cs="Arial"/>
                <w:b w:val="0"/>
                <w:i w:val="0"/>
                <w:strike w:val="0"/>
                <w:color w:val="000000"/>
                <w:sz w:val="13"/>
                <w:u w:val="none"/>
                <w:vertAlign w:val="baseline"/>
              </w:rPr>
              <w:t>515</w:t>
            </w:r>
            <w:bookmarkStart w:id="373" w:name="XBRL_CE_7af3eee53ad048708b6a155285880a20"/>
            <w:bookmarkEnd w:id="372"/>
            <w:bookmarkEnd w:id="373"/>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74" w:name="XBRL_CS_b7640a67f9224850919e2b56d991b705"/>
            <w:bookmarkEnd w:id="374"/>
            <w:bookmarkStart w:id="375" w:name="b7640a67f9224850919e2b56d991b705"/>
            <w:r>
              <w:rPr>
                <w:rFonts w:ascii="Arial" w:eastAsia="Arial" w:hAnsi="Arial" w:cs="Arial"/>
                <w:b/>
                <w:i w:val="0"/>
                <w:strike w:val="0"/>
                <w:color w:val="000000"/>
                <w:sz w:val="13"/>
                <w:u w:val="none"/>
                <w:vertAlign w:val="baseline"/>
              </w:rPr>
              <w:t>258</w:t>
            </w:r>
            <w:bookmarkStart w:id="376" w:name="XBRL_CE_b7640a67f9224850919e2b56d991b705"/>
            <w:bookmarkEnd w:id="375"/>
            <w:bookmarkEnd w:id="376"/>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77" w:name="XBRL_CS_74de65f393814d84a0d88b8baaad0bfd"/>
            <w:bookmarkEnd w:id="377"/>
            <w:bookmarkStart w:id="378" w:name="74de65f393814d84a0d88b8baaad0bfd"/>
            <w:r>
              <w:rPr>
                <w:rFonts w:ascii="Arial" w:eastAsia="Arial" w:hAnsi="Arial" w:cs="Arial"/>
                <w:b w:val="0"/>
                <w:i w:val="0"/>
                <w:strike w:val="0"/>
                <w:color w:val="000000"/>
                <w:sz w:val="13"/>
                <w:u w:val="none"/>
                <w:vertAlign w:val="baseline"/>
              </w:rPr>
              <w:t>281</w:t>
            </w:r>
            <w:bookmarkStart w:id="379" w:name="XBRL_CE_74de65f393814d84a0d88b8baaad0bfd"/>
            <w:bookmarkEnd w:id="378"/>
            <w:bookmarkEnd w:id="379"/>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80" w:name="XBRL_CS_8c103c7e517c4cbc9fdb40a129ffb362"/>
            <w:bookmarkEnd w:id="380"/>
            <w:bookmarkStart w:id="381" w:name="8c103c7e517c4cbc9fdb40a129ffb362"/>
            <w:r>
              <w:rPr>
                <w:rFonts w:ascii="Arial" w:eastAsia="Arial" w:hAnsi="Arial" w:cs="Arial"/>
                <w:b/>
                <w:i w:val="0"/>
                <w:strike w:val="0"/>
                <w:color w:val="000000"/>
                <w:sz w:val="13"/>
                <w:u w:val="none"/>
                <w:vertAlign w:val="baseline"/>
              </w:rPr>
              <w:t>919</w:t>
            </w:r>
            <w:bookmarkStart w:id="382" w:name="XBRL_CE_8c103c7e517c4cbc9fdb40a129ffb362"/>
            <w:bookmarkEnd w:id="381"/>
            <w:bookmarkEnd w:id="382"/>
          </w:p>
        </w:tc>
        <w:tc>
          <w:tcPr>
            <w:tcW w:w="120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83" w:name="XBRL_CS_2c3704c448fb40ad8cebdde2ceaad9ca"/>
            <w:bookmarkEnd w:id="383"/>
            <w:bookmarkStart w:id="384" w:name="2c3704c448fb40ad8cebdde2ceaad9ca"/>
            <w:r>
              <w:rPr>
                <w:rFonts w:ascii="Arial" w:eastAsia="Arial" w:hAnsi="Arial" w:cs="Arial"/>
                <w:b w:val="0"/>
                <w:i w:val="0"/>
                <w:strike w:val="0"/>
                <w:color w:val="000000"/>
                <w:sz w:val="13"/>
                <w:u w:val="none"/>
                <w:vertAlign w:val="baseline"/>
              </w:rPr>
              <w:t>358</w:t>
            </w:r>
            <w:bookmarkStart w:id="385" w:name="XBRL_CE_2c3704c448fb40ad8cebdde2ceaad9ca"/>
            <w:bookmarkEnd w:id="384"/>
            <w:bookmarkEnd w:id="385"/>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5.3., 5.4.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current assets</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86" w:name="XBRL_CS_4776c672b2bf4a7f9113ec8fdd2e9d6e"/>
            <w:bookmarkEnd w:id="386"/>
            <w:bookmarkStart w:id="387" w:name="4776c672b2bf4a7f9113ec8fdd2e9d6e"/>
            <w:r>
              <w:rPr>
                <w:rFonts w:ascii="Arial" w:eastAsia="Arial" w:hAnsi="Arial" w:cs="Arial"/>
                <w:b/>
                <w:i w:val="0"/>
                <w:strike w:val="0"/>
                <w:color w:val="000000"/>
                <w:sz w:val="13"/>
                <w:u w:val="none"/>
                <w:vertAlign w:val="baseline"/>
              </w:rPr>
              <w:t>3,706</w:t>
            </w:r>
            <w:bookmarkStart w:id="388" w:name="XBRL_CE_4776c672b2bf4a7f9113ec8fdd2e9d6e"/>
            <w:bookmarkEnd w:id="387"/>
            <w:bookmarkEnd w:id="388"/>
          </w:p>
        </w:tc>
        <w:tc>
          <w:tcPr>
            <w:tcW w:w="120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89" w:name="XBRL_CS_a7726e88522f40ad9f922837c7f019d3"/>
            <w:bookmarkEnd w:id="389"/>
            <w:bookmarkStart w:id="390" w:name="a7726e88522f40ad9f922837c7f019d3"/>
            <w:r>
              <w:rPr>
                <w:rFonts w:ascii="Arial" w:eastAsia="Arial" w:hAnsi="Arial" w:cs="Arial"/>
                <w:b w:val="0"/>
                <w:i w:val="0"/>
                <w:strike w:val="0"/>
                <w:color w:val="000000"/>
                <w:sz w:val="13"/>
                <w:u w:val="none"/>
                <w:vertAlign w:val="baseline"/>
              </w:rPr>
              <w:t>3,797</w:t>
            </w:r>
            <w:bookmarkStart w:id="391" w:name="XBRL_CE_a7726e88522f40ad9f922837c7f019d3"/>
            <w:bookmarkEnd w:id="390"/>
            <w:bookmarkEnd w:id="391"/>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Assets held for sale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92" w:name="XBRL_CS_246ab20c8b014999b6f66ce8cfd61463"/>
            <w:bookmarkEnd w:id="392"/>
            <w:bookmarkStart w:id="393" w:name="246ab20c8b014999b6f66ce8cfd61463"/>
            <w:r>
              <w:rPr>
                <w:rFonts w:ascii="Arial" w:eastAsia="Arial" w:hAnsi="Arial" w:cs="Arial"/>
                <w:b/>
                <w:i w:val="0"/>
                <w:strike w:val="0"/>
                <w:color w:val="000000"/>
                <w:sz w:val="13"/>
                <w:u w:val="none"/>
                <w:vertAlign w:val="baseline"/>
              </w:rPr>
              <w:t>99</w:t>
            </w:r>
            <w:bookmarkStart w:id="394" w:name="XBRL_CE_246ab20c8b014999b6f66ce8cfd61463"/>
            <w:bookmarkEnd w:id="393"/>
            <w:bookmarkEnd w:id="394"/>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395" w:name="XBRL_CS_55e1898d392d4442ac0637f42a049bc4"/>
            <w:bookmarkEnd w:id="395"/>
            <w:bookmarkStart w:id="396" w:name="55e1898d392d4442ac0637f42a049bc4"/>
            <w:r>
              <w:rPr>
                <w:rFonts w:ascii="Arial" w:eastAsia="Arial" w:hAnsi="Arial" w:cs="Arial"/>
                <w:b w:val="0"/>
                <w:i w:val="0"/>
                <w:strike w:val="0"/>
                <w:color w:val="000000"/>
                <w:sz w:val="13"/>
                <w:u w:val="none"/>
                <w:vertAlign w:val="baseline"/>
              </w:rPr>
              <w:t>82</w:t>
            </w:r>
            <w:bookmarkStart w:id="397" w:name="XBRL_CE_55e1898d392d4442ac0637f42a049bc4"/>
            <w:bookmarkEnd w:id="396"/>
            <w:bookmarkEnd w:id="397"/>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6.3.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assets</w:t>
            </w:r>
          </w:p>
        </w:tc>
        <w:tc>
          <w:tcPr>
            <w:tcW w:w="120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398" w:name="XBRL_CS_9fc2fa1332024cbfbe179b2ae23aa7ba"/>
            <w:bookmarkEnd w:id="398"/>
            <w:bookmarkStart w:id="399" w:name="9fc2fa1332024cbfbe179b2ae23aa7ba"/>
            <w:r>
              <w:rPr>
                <w:rFonts w:ascii="Arial" w:eastAsia="Arial" w:hAnsi="Arial" w:cs="Arial"/>
                <w:b/>
                <w:i w:val="0"/>
                <w:strike w:val="0"/>
                <w:color w:val="000000"/>
                <w:sz w:val="13"/>
                <w:u w:val="none"/>
                <w:vertAlign w:val="baseline"/>
              </w:rPr>
              <w:t>6,232</w:t>
            </w:r>
            <w:bookmarkStart w:id="400" w:name="XBRL_CE_9fc2fa1332024cbfbe179b2ae23aa7ba"/>
            <w:bookmarkEnd w:id="399"/>
            <w:bookmarkEnd w:id="400"/>
          </w:p>
        </w:tc>
        <w:tc>
          <w:tcPr>
            <w:tcW w:w="120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01" w:name="XBRL_CS_5dfb5b3a55f24922bdb88d8bc7776c95"/>
            <w:bookmarkEnd w:id="401"/>
            <w:bookmarkStart w:id="402" w:name="5dfb5b3a55f24922bdb88d8bc7776c95"/>
            <w:r>
              <w:rPr>
                <w:rFonts w:ascii="Arial" w:eastAsia="Arial" w:hAnsi="Arial" w:cs="Arial"/>
                <w:b w:val="0"/>
                <w:i w:val="0"/>
                <w:strike w:val="0"/>
                <w:color w:val="000000"/>
                <w:sz w:val="13"/>
                <w:u w:val="none"/>
                <w:vertAlign w:val="baseline"/>
              </w:rPr>
              <w:t>6,398</w:t>
            </w:r>
            <w:bookmarkStart w:id="403" w:name="XBRL_CE_5dfb5b3a55f24922bdb88d8bc7776c95"/>
            <w:bookmarkEnd w:id="402"/>
            <w:bookmarkEnd w:id="403"/>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 and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capital</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04" w:name="XBRL_CS_3bc899d7607148daae2dbf8d566769f6"/>
            <w:bookmarkEnd w:id="404"/>
            <w:bookmarkStart w:id="405" w:name="3bc899d7607148daae2dbf8d566769f6"/>
            <w:r>
              <w:rPr>
                <w:rFonts w:ascii="Arial" w:eastAsia="Arial" w:hAnsi="Arial" w:cs="Arial"/>
                <w:b/>
                <w:i w:val="0"/>
                <w:strike w:val="0"/>
                <w:color w:val="000000"/>
                <w:sz w:val="13"/>
                <w:u w:val="none"/>
                <w:vertAlign w:val="baseline"/>
              </w:rPr>
              <w:t>336</w:t>
            </w:r>
            <w:bookmarkStart w:id="406" w:name="XBRL_CE_3bc899d7607148daae2dbf8d566769f6"/>
            <w:bookmarkEnd w:id="405"/>
            <w:bookmarkEnd w:id="406"/>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07" w:name="XBRL_CS_8d3849ea820346808860bd0eee3a231e"/>
            <w:bookmarkEnd w:id="407"/>
            <w:bookmarkStart w:id="408" w:name="8d3849ea820346808860bd0eee3a231e"/>
            <w:r>
              <w:rPr>
                <w:rFonts w:ascii="Arial" w:eastAsia="Arial" w:hAnsi="Arial" w:cs="Arial"/>
                <w:b w:val="0"/>
                <w:i w:val="0"/>
                <w:strike w:val="0"/>
                <w:color w:val="000000"/>
                <w:sz w:val="13"/>
                <w:u w:val="none"/>
                <w:vertAlign w:val="baseline"/>
              </w:rPr>
              <w:t>336</w:t>
            </w:r>
            <w:bookmarkStart w:id="409" w:name="XBRL_CE_8d3849ea820346808860bd0eee3a231e"/>
            <w:bookmarkEnd w:id="408"/>
            <w:bookmarkEnd w:id="409"/>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premium</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10" w:name="XBRL_CS_b54bc3ec57be4c709f8f063fbd0743ee"/>
            <w:bookmarkEnd w:id="410"/>
            <w:bookmarkStart w:id="411" w:name="b54bc3ec57be4c709f8f063fbd0743ee"/>
            <w:r>
              <w:rPr>
                <w:rFonts w:ascii="Arial" w:eastAsia="Arial" w:hAnsi="Arial" w:cs="Arial"/>
                <w:b/>
                <w:i w:val="0"/>
                <w:strike w:val="0"/>
                <w:color w:val="000000"/>
                <w:sz w:val="13"/>
                <w:u w:val="none"/>
                <w:vertAlign w:val="baseline"/>
              </w:rPr>
              <w:t>61</w:t>
            </w:r>
            <w:bookmarkStart w:id="412" w:name="XBRL_CE_b54bc3ec57be4c709f8f063fbd0743ee"/>
            <w:bookmarkEnd w:id="411"/>
            <w:bookmarkEnd w:id="412"/>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13" w:name="XBRL_CS_90b0b006be59491883bf9b911fdcada8"/>
            <w:bookmarkEnd w:id="413"/>
            <w:bookmarkStart w:id="414" w:name="90b0b006be59491883bf9b911fdcada8"/>
            <w:r>
              <w:rPr>
                <w:rFonts w:ascii="Arial" w:eastAsia="Arial" w:hAnsi="Arial" w:cs="Arial"/>
                <w:b w:val="0"/>
                <w:i w:val="0"/>
                <w:strike w:val="0"/>
                <w:color w:val="000000"/>
                <w:sz w:val="13"/>
                <w:u w:val="none"/>
                <w:vertAlign w:val="baseline"/>
              </w:rPr>
              <w:t>61</w:t>
            </w:r>
            <w:bookmarkStart w:id="415" w:name="XBRL_CE_90b0b006be59491883bf9b911fdcada8"/>
            <w:bookmarkEnd w:id="414"/>
            <w:bookmarkEnd w:id="415"/>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Translation differences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16" w:name="XBRL_CS_9dd56de54cfe4b41bfc75dd037ff2eeb"/>
            <w:bookmarkEnd w:id="416"/>
            <w:bookmarkStart w:id="417" w:name="9dd56de54cfe4b41bfc75dd037ff2eeb"/>
            <w:r>
              <w:rPr>
                <w:rFonts w:ascii="Arial" w:eastAsia="Arial" w:hAnsi="Arial" w:cs="Arial"/>
                <w:b/>
                <w:i w:val="0"/>
                <w:strike w:val="0"/>
                <w:color w:val="000000"/>
                <w:sz w:val="13"/>
                <w:u w:val="none"/>
                <w:vertAlign w:val="baseline"/>
              </w:rPr>
              <w:t>-197</w:t>
            </w:r>
            <w:bookmarkStart w:id="418" w:name="XBRL_CE_9dd56de54cfe4b41bfc75dd037ff2eeb"/>
            <w:bookmarkEnd w:id="417"/>
            <w:bookmarkEnd w:id="418"/>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19" w:name="XBRL_CS_2fe0d9eb3c8a449d9c6f28e93cd457c4"/>
            <w:bookmarkEnd w:id="419"/>
            <w:bookmarkStart w:id="420" w:name="2fe0d9eb3c8a449d9c6f28e93cd457c4"/>
            <w:r>
              <w:rPr>
                <w:rFonts w:ascii="Arial" w:eastAsia="Arial" w:hAnsi="Arial" w:cs="Arial"/>
                <w:b w:val="0"/>
                <w:i w:val="0"/>
                <w:strike w:val="0"/>
                <w:color w:val="000000"/>
                <w:sz w:val="13"/>
                <w:u w:val="none"/>
                <w:vertAlign w:val="baseline"/>
              </w:rPr>
              <w:t>-114</w:t>
            </w:r>
            <w:bookmarkStart w:id="421" w:name="XBRL_CE_2fe0d9eb3c8a449d9c6f28e93cd457c4"/>
            <w:bookmarkEnd w:id="420"/>
            <w:bookmarkEnd w:id="421"/>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reserve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22" w:name="XBRL_CS_f27a551d4aac4f068a06485e1cfdd206"/>
            <w:bookmarkEnd w:id="422"/>
            <w:bookmarkStart w:id="423" w:name="f27a551d4aac4f068a06485e1cfdd206"/>
            <w:r>
              <w:rPr>
                <w:rFonts w:ascii="Arial" w:eastAsia="Arial" w:hAnsi="Arial" w:cs="Arial"/>
                <w:b/>
                <w:i w:val="0"/>
                <w:strike w:val="0"/>
                <w:color w:val="000000"/>
                <w:sz w:val="13"/>
                <w:u w:val="none"/>
                <w:vertAlign w:val="baseline"/>
              </w:rPr>
              <w:t>-9</w:t>
            </w:r>
            <w:bookmarkStart w:id="424" w:name="XBRL_CE_f27a551d4aac4f068a06485e1cfdd206"/>
            <w:bookmarkEnd w:id="423"/>
            <w:bookmarkEnd w:id="424"/>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25" w:name="XBRL_CS_3f6f11238d684cc9958ed5640f20257b"/>
            <w:bookmarkEnd w:id="425"/>
            <w:bookmarkStart w:id="426" w:name="3f6f11238d684cc9958ed5640f20257b"/>
            <w:r>
              <w:rPr>
                <w:rFonts w:ascii="Arial" w:eastAsia="Arial" w:hAnsi="Arial" w:cs="Arial"/>
                <w:b w:val="0"/>
                <w:i w:val="0"/>
                <w:strike w:val="0"/>
                <w:color w:val="000000"/>
                <w:sz w:val="13"/>
                <w:u w:val="none"/>
                <w:vertAlign w:val="baseline"/>
              </w:rPr>
              <w:t>-11</w:t>
            </w:r>
            <w:bookmarkStart w:id="427" w:name="XBRL_CE_3f6f11238d684cc9958ed5640f20257b"/>
            <w:bookmarkEnd w:id="426"/>
            <w:bookmarkEnd w:id="427"/>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Remeasurements of defined benefit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28" w:name="XBRL_CS_878a7579ec114fa59a9fa909a5d7dd73"/>
            <w:bookmarkEnd w:id="428"/>
            <w:bookmarkStart w:id="429" w:name="878a7579ec114fa59a9fa909a5d7dd73"/>
            <w:r>
              <w:rPr>
                <w:rFonts w:ascii="Arial" w:eastAsia="Arial" w:hAnsi="Arial" w:cs="Arial"/>
                <w:b/>
                <w:i w:val="0"/>
                <w:strike w:val="0"/>
                <w:color w:val="000000"/>
                <w:sz w:val="13"/>
                <w:u w:val="none"/>
                <w:vertAlign w:val="baseline"/>
              </w:rPr>
              <w:t>-45</w:t>
            </w:r>
            <w:bookmarkStart w:id="430" w:name="XBRL_CE_878a7579ec114fa59a9fa909a5d7dd73"/>
            <w:bookmarkEnd w:id="429"/>
            <w:bookmarkEnd w:id="430"/>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31" w:name="XBRL_CS_8476ff2cafda4c8ab6cf12aa1b60e41c"/>
            <w:bookmarkEnd w:id="431"/>
            <w:bookmarkStart w:id="432" w:name="8476ff2cafda4c8ab6cf12aa1b60e41c"/>
            <w:r>
              <w:rPr>
                <w:rFonts w:ascii="Arial" w:eastAsia="Arial" w:hAnsi="Arial" w:cs="Arial"/>
                <w:b w:val="0"/>
                <w:i w:val="0"/>
                <w:strike w:val="0"/>
                <w:color w:val="000000"/>
                <w:sz w:val="13"/>
                <w:u w:val="none"/>
                <w:vertAlign w:val="baseline"/>
              </w:rPr>
              <w:t>-55</w:t>
            </w:r>
            <w:bookmarkStart w:id="433" w:name="XBRL_CE_8476ff2cafda4c8ab6cf12aa1b60e41c"/>
            <w:bookmarkEnd w:id="432"/>
            <w:bookmarkEnd w:id="433"/>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Retained earnings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34" w:name="XBRL_CS_ffc8e2d3d9254add9d3b52468376e858"/>
            <w:bookmarkEnd w:id="434"/>
            <w:bookmarkStart w:id="435" w:name="ffc8e2d3d9254add9d3b52468376e858"/>
            <w:r>
              <w:rPr>
                <w:rFonts w:ascii="Arial" w:eastAsia="Arial" w:hAnsi="Arial" w:cs="Arial"/>
                <w:b/>
                <w:i w:val="0"/>
                <w:strike w:val="0"/>
                <w:color w:val="000000"/>
                <w:sz w:val="13"/>
                <w:u w:val="none"/>
                <w:vertAlign w:val="baseline"/>
              </w:rPr>
              <w:t>2,030</w:t>
            </w:r>
            <w:bookmarkStart w:id="436" w:name="XBRL_CE_ffc8e2d3d9254add9d3b52468376e858"/>
            <w:bookmarkEnd w:id="435"/>
            <w:bookmarkEnd w:id="436"/>
          </w:p>
        </w:tc>
        <w:tc>
          <w:tcPr>
            <w:tcW w:w="120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37" w:name="XBRL_CS_e2fa6735662844e7855370337921fa41"/>
            <w:bookmarkEnd w:id="437"/>
            <w:bookmarkStart w:id="438" w:name="e2fa6735662844e7855370337921fa41"/>
            <w:r>
              <w:rPr>
                <w:rFonts w:ascii="Arial" w:eastAsia="Arial" w:hAnsi="Arial" w:cs="Arial"/>
                <w:b w:val="0"/>
                <w:i w:val="0"/>
                <w:strike w:val="0"/>
                <w:color w:val="000000"/>
                <w:sz w:val="13"/>
                <w:u w:val="none"/>
                <w:vertAlign w:val="baseline"/>
              </w:rPr>
              <w:t>2,178</w:t>
            </w:r>
            <w:bookmarkStart w:id="439" w:name="XBRL_CE_e2fa6735662844e7855370337921fa41"/>
            <w:bookmarkEnd w:id="438"/>
            <w:bookmarkEnd w:id="439"/>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388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equity attributable to equity holders of the parent company</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40" w:name="XBRL_CS_9fe422201bbf431988fb02f6f74336cd"/>
            <w:bookmarkEnd w:id="440"/>
            <w:bookmarkStart w:id="441" w:name="9fe422201bbf431988fb02f6f74336cd"/>
            <w:r>
              <w:rPr>
                <w:rFonts w:ascii="Arial" w:eastAsia="Arial" w:hAnsi="Arial" w:cs="Arial"/>
                <w:b/>
                <w:i w:val="0"/>
                <w:strike w:val="0"/>
                <w:color w:val="000000"/>
                <w:sz w:val="13"/>
                <w:u w:val="none"/>
                <w:vertAlign w:val="baseline"/>
              </w:rPr>
              <w:t>2,177</w:t>
            </w:r>
            <w:bookmarkStart w:id="442" w:name="XBRL_CE_9fe422201bbf431988fb02f6f74336cd"/>
            <w:bookmarkEnd w:id="441"/>
            <w:bookmarkEnd w:id="442"/>
          </w:p>
        </w:tc>
        <w:tc>
          <w:tcPr>
            <w:tcW w:w="120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43" w:name="XBRL_CS_2689bfd625af4e96962d50809b99c15a"/>
            <w:bookmarkEnd w:id="443"/>
            <w:bookmarkStart w:id="444" w:name="2689bfd625af4e96962d50809b99c15a"/>
            <w:r>
              <w:rPr>
                <w:rFonts w:ascii="Arial" w:eastAsia="Arial" w:hAnsi="Arial" w:cs="Arial"/>
                <w:b w:val="0"/>
                <w:i w:val="0"/>
                <w:strike w:val="0"/>
                <w:color w:val="000000"/>
                <w:sz w:val="13"/>
                <w:u w:val="none"/>
                <w:vertAlign w:val="baseline"/>
              </w:rPr>
              <w:t>2,396</w:t>
            </w:r>
            <w:bookmarkStart w:id="445" w:name="XBRL_CE_2689bfd625af4e96962d50809b99c15a"/>
            <w:bookmarkEnd w:id="444"/>
            <w:bookmarkEnd w:id="445"/>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Non-controlling interests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46" w:name="XBRL_CS_8a8a8846e96d469f8b5fffdabb4484e3"/>
            <w:bookmarkEnd w:id="446"/>
            <w:bookmarkStart w:id="447" w:name="8a8a8846e96d469f8b5fffdabb4484e3"/>
            <w:bookmarkStart w:id="448" w:name="XBRL_CS_85180b17544a40b7b7cab532dd138a01"/>
            <w:bookmarkEnd w:id="448"/>
            <w:bookmarkStart w:id="449" w:name="85180b17544a40b7b7cab532dd138a01"/>
            <w:r>
              <w:rPr>
                <w:rFonts w:ascii="Arial" w:eastAsia="Arial" w:hAnsi="Arial" w:cs="Arial"/>
                <w:b/>
                <w:i w:val="0"/>
                <w:strike w:val="0"/>
                <w:color w:val="000000"/>
                <w:sz w:val="13"/>
                <w:u w:val="none"/>
                <w:vertAlign w:val="baseline"/>
              </w:rPr>
              <w:t>11</w:t>
            </w:r>
            <w:bookmarkStart w:id="450" w:name="XBRL_CE_85180b17544a40b7b7cab532dd138a01"/>
            <w:bookmarkEnd w:id="449"/>
            <w:bookmarkEnd w:id="450"/>
            <w:bookmarkStart w:id="451" w:name="XBRL_CE_8a8a8846e96d469f8b5fffdabb4484e3"/>
            <w:bookmarkEnd w:id="447"/>
            <w:bookmarkEnd w:id="451"/>
          </w:p>
        </w:tc>
        <w:tc>
          <w:tcPr>
            <w:tcW w:w="120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52" w:name="XBRL_CS_11cd934f96ea483495ba50f3cd813e8a"/>
            <w:bookmarkEnd w:id="452"/>
            <w:bookmarkStart w:id="453" w:name="11cd934f96ea483495ba50f3cd813e8a"/>
            <w:r>
              <w:rPr>
                <w:rFonts w:ascii="Arial" w:eastAsia="Arial" w:hAnsi="Arial" w:cs="Arial"/>
                <w:b w:val="0"/>
                <w:i w:val="0"/>
                <w:strike w:val="0"/>
                <w:color w:val="000000"/>
                <w:sz w:val="13"/>
                <w:u w:val="none"/>
                <w:vertAlign w:val="baseline"/>
              </w:rPr>
              <w:t>14</w:t>
            </w:r>
            <w:bookmarkStart w:id="454" w:name="XBRL_CE_11cd934f96ea483495ba50f3cd813e8a"/>
            <w:bookmarkEnd w:id="453"/>
            <w:bookmarkEnd w:id="454"/>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equity</w:t>
            </w:r>
          </w:p>
        </w:tc>
        <w:tc>
          <w:tcPr>
            <w:tcW w:w="120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55" w:name="XBRL_CS_8a50c570edec4a7fa55cd588c9be716c"/>
            <w:bookmarkEnd w:id="455"/>
            <w:bookmarkStart w:id="456" w:name="8a50c570edec4a7fa55cd588c9be716c"/>
            <w:r>
              <w:rPr>
                <w:rFonts w:ascii="Arial" w:eastAsia="Arial" w:hAnsi="Arial" w:cs="Arial"/>
                <w:b/>
                <w:i w:val="0"/>
                <w:strike w:val="0"/>
                <w:color w:val="000000"/>
                <w:sz w:val="13"/>
                <w:u w:val="none"/>
                <w:vertAlign w:val="baseline"/>
              </w:rPr>
              <w:t>2,188</w:t>
            </w:r>
            <w:bookmarkStart w:id="457" w:name="XBRL_CE_8a50c570edec4a7fa55cd588c9be716c"/>
            <w:bookmarkEnd w:id="456"/>
            <w:bookmarkEnd w:id="457"/>
          </w:p>
        </w:tc>
        <w:tc>
          <w:tcPr>
            <w:tcW w:w="120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58" w:name="XBRL_CS_224a8a4ba411458ca1a4a38f700324ad"/>
            <w:bookmarkEnd w:id="458"/>
            <w:bookmarkStart w:id="459" w:name="224a8a4ba411458ca1a4a38f700324ad"/>
            <w:r>
              <w:rPr>
                <w:rFonts w:ascii="Arial" w:eastAsia="Arial" w:hAnsi="Arial" w:cs="Arial"/>
                <w:b w:val="0"/>
                <w:i w:val="0"/>
                <w:strike w:val="0"/>
                <w:color w:val="000000"/>
                <w:sz w:val="13"/>
                <w:u w:val="none"/>
                <w:vertAlign w:val="baseline"/>
              </w:rPr>
              <w:t>2,410</w:t>
            </w:r>
            <w:bookmarkStart w:id="460" w:name="XBRL_CE_224a8a4ba411458ca1a4a38f700324ad"/>
            <w:bookmarkEnd w:id="459"/>
            <w:bookmarkEnd w:id="460"/>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61" w:name="XBRL_CS_71b25d74a586425fab715f8425997cc7"/>
            <w:bookmarkEnd w:id="461"/>
            <w:bookmarkStart w:id="462" w:name="71b25d74a586425fab715f8425997cc7"/>
            <w:r>
              <w:rPr>
                <w:rFonts w:ascii="Arial" w:eastAsia="Arial" w:hAnsi="Arial" w:cs="Arial"/>
                <w:b/>
                <w:i w:val="0"/>
                <w:strike w:val="0"/>
                <w:color w:val="000000"/>
                <w:sz w:val="13"/>
                <w:u w:val="none"/>
                <w:vertAlign w:val="baseline"/>
              </w:rPr>
              <w:t>1,129</w:t>
            </w:r>
            <w:bookmarkStart w:id="463" w:name="XBRL_CE_71b25d74a586425fab715f8425997cc7"/>
            <w:bookmarkEnd w:id="462"/>
            <w:bookmarkEnd w:id="463"/>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64" w:name="XBRL_CS_8c38645497124ee5a7b62d38f95fb515"/>
            <w:bookmarkEnd w:id="464"/>
            <w:bookmarkStart w:id="465" w:name="8c38645497124ee5a7b62d38f95fb515"/>
            <w:r>
              <w:rPr>
                <w:rFonts w:ascii="Arial" w:eastAsia="Arial" w:hAnsi="Arial" w:cs="Arial"/>
                <w:b w:val="0"/>
                <w:i w:val="0"/>
                <w:strike w:val="0"/>
                <w:color w:val="000000"/>
                <w:sz w:val="13"/>
                <w:u w:val="none"/>
                <w:vertAlign w:val="baseline"/>
              </w:rPr>
              <w:t>997</w:t>
            </w:r>
            <w:bookmarkStart w:id="466" w:name="XBRL_CE_8c38645497124ee5a7b62d38f95fb515"/>
            <w:bookmarkEnd w:id="465"/>
            <w:bookmarkEnd w:id="466"/>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5.2., 5.4., 5.6.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Deferred tax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67" w:name="XBRL_CS_271a8442599c48238e302555822c32cb"/>
            <w:bookmarkEnd w:id="467"/>
            <w:bookmarkStart w:id="468" w:name="271a8442599c48238e302555822c32cb"/>
            <w:r>
              <w:rPr>
                <w:rFonts w:ascii="Arial" w:eastAsia="Arial" w:hAnsi="Arial" w:cs="Arial"/>
                <w:b/>
                <w:i w:val="0"/>
                <w:strike w:val="0"/>
                <w:color w:val="000000"/>
                <w:sz w:val="13"/>
                <w:u w:val="none"/>
                <w:vertAlign w:val="baseline"/>
              </w:rPr>
              <w:t>76</w:t>
            </w:r>
            <w:bookmarkStart w:id="469" w:name="XBRL_CE_271a8442599c48238e302555822c32cb"/>
            <w:bookmarkEnd w:id="468"/>
            <w:bookmarkEnd w:id="469"/>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70" w:name="XBRL_CS_0f7b1ea0befb4e5787bc47c54e24a17d"/>
            <w:bookmarkEnd w:id="470"/>
            <w:bookmarkStart w:id="471" w:name="0f7b1ea0befb4e5787bc47c54e24a17d"/>
            <w:r>
              <w:rPr>
                <w:rFonts w:ascii="Arial" w:eastAsia="Arial" w:hAnsi="Arial" w:cs="Arial"/>
                <w:b w:val="0"/>
                <w:i w:val="0"/>
                <w:strike w:val="0"/>
                <w:color w:val="000000"/>
                <w:sz w:val="13"/>
                <w:u w:val="none"/>
                <w:vertAlign w:val="baseline"/>
              </w:rPr>
              <w:t>83</w:t>
            </w:r>
            <w:bookmarkStart w:id="472" w:name="XBRL_CE_0f7b1ea0befb4e5787bc47c54e24a17d"/>
            <w:bookmarkEnd w:id="471"/>
            <w:bookmarkEnd w:id="472"/>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Pension obligations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73" w:name="XBRL_CS_e6a6c6ce69d04ef2803431ca24a12d93"/>
            <w:bookmarkEnd w:id="473"/>
            <w:bookmarkStart w:id="474" w:name="e6a6c6ce69d04ef2803431ca24a12d93"/>
            <w:r>
              <w:rPr>
                <w:rFonts w:ascii="Arial" w:eastAsia="Arial" w:hAnsi="Arial" w:cs="Arial"/>
                <w:b/>
                <w:i w:val="0"/>
                <w:strike w:val="0"/>
                <w:color w:val="000000"/>
                <w:sz w:val="13"/>
                <w:u w:val="none"/>
                <w:vertAlign w:val="baseline"/>
              </w:rPr>
              <w:t>139</w:t>
            </w:r>
            <w:bookmarkStart w:id="475" w:name="XBRL_CE_e6a6c6ce69d04ef2803431ca24a12d93"/>
            <w:bookmarkEnd w:id="474"/>
            <w:bookmarkEnd w:id="475"/>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76" w:name="XBRL_CS_b307dc3ebe8445ecaf434d087abc9edb"/>
            <w:bookmarkEnd w:id="476"/>
            <w:bookmarkStart w:id="477" w:name="b307dc3ebe8445ecaf434d087abc9edb"/>
            <w:r>
              <w:rPr>
                <w:rFonts w:ascii="Arial" w:eastAsia="Arial" w:hAnsi="Arial" w:cs="Arial"/>
                <w:b w:val="0"/>
                <w:i w:val="0"/>
                <w:strike w:val="0"/>
                <w:color w:val="000000"/>
                <w:sz w:val="13"/>
                <w:u w:val="none"/>
                <w:vertAlign w:val="baseline"/>
              </w:rPr>
              <w:t>155</w:t>
            </w:r>
            <w:bookmarkStart w:id="478" w:name="XBRL_CE_b307dc3ebe8445ecaf434d087abc9edb"/>
            <w:bookmarkEnd w:id="477"/>
            <w:bookmarkEnd w:id="478"/>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Provisions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79" w:name="XBRL_CS_777033d1158e45eb8c6422eb535549d9"/>
            <w:bookmarkEnd w:id="479"/>
            <w:bookmarkStart w:id="480" w:name="777033d1158e45eb8c6422eb535549d9"/>
            <w:r>
              <w:rPr>
                <w:rFonts w:ascii="Arial" w:eastAsia="Arial" w:hAnsi="Arial" w:cs="Arial"/>
                <w:b/>
                <w:i w:val="0"/>
                <w:strike w:val="0"/>
                <w:color w:val="000000"/>
                <w:sz w:val="13"/>
                <w:u w:val="none"/>
                <w:vertAlign w:val="baseline"/>
              </w:rPr>
              <w:t>55</w:t>
            </w:r>
            <w:bookmarkStart w:id="481" w:name="XBRL_CE_777033d1158e45eb8c6422eb535549d9"/>
            <w:bookmarkEnd w:id="480"/>
            <w:bookmarkEnd w:id="481"/>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82" w:name="XBRL_CS_54d1eea9f9e542caa6aca09a6c84745a"/>
            <w:bookmarkEnd w:id="482"/>
            <w:bookmarkStart w:id="483" w:name="54d1eea9f9e542caa6aca09a6c84745a"/>
            <w:r>
              <w:rPr>
                <w:rFonts w:ascii="Arial" w:eastAsia="Arial" w:hAnsi="Arial" w:cs="Arial"/>
                <w:b w:val="0"/>
                <w:i w:val="0"/>
                <w:strike w:val="0"/>
                <w:color w:val="000000"/>
                <w:sz w:val="13"/>
                <w:u w:val="none"/>
                <w:vertAlign w:val="baseline"/>
              </w:rPr>
              <w:t>45</w:t>
            </w:r>
            <w:bookmarkStart w:id="484" w:name="XBRL_CE_54d1eea9f9e542caa6aca09a6c84745a"/>
            <w:bookmarkEnd w:id="483"/>
            <w:bookmarkEnd w:id="484"/>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Contract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85" w:name="XBRL_CS_b939053a145047bd8276cd457ddbd177"/>
            <w:bookmarkEnd w:id="485"/>
            <w:bookmarkStart w:id="486" w:name="b939053a145047bd8276cd457ddbd177"/>
            <w:r>
              <w:rPr>
                <w:rFonts w:ascii="Arial" w:eastAsia="Arial" w:hAnsi="Arial" w:cs="Arial"/>
                <w:b/>
                <w:i w:val="0"/>
                <w:strike w:val="0"/>
                <w:color w:val="000000"/>
                <w:sz w:val="13"/>
                <w:u w:val="none"/>
                <w:vertAlign w:val="baseline"/>
              </w:rPr>
              <w:t>51</w:t>
            </w:r>
            <w:bookmarkStart w:id="487" w:name="XBRL_CE_b939053a145047bd8276cd457ddbd177"/>
            <w:bookmarkEnd w:id="486"/>
            <w:bookmarkEnd w:id="487"/>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88" w:name="XBRL_CS_9b630af7c9884aeda65308044fa13c04"/>
            <w:bookmarkEnd w:id="488"/>
            <w:bookmarkStart w:id="489" w:name="9b630af7c9884aeda65308044fa13c04"/>
            <w:r>
              <w:rPr>
                <w:rFonts w:ascii="Arial" w:eastAsia="Arial" w:hAnsi="Arial" w:cs="Arial"/>
                <w:b w:val="0"/>
                <w:i w:val="0"/>
                <w:strike w:val="0"/>
                <w:color w:val="000000"/>
                <w:sz w:val="13"/>
                <w:u w:val="none"/>
                <w:vertAlign w:val="baseline"/>
              </w:rPr>
              <w:t>38</w:t>
            </w:r>
            <w:bookmarkStart w:id="490" w:name="XBRL_CE_9b630af7c9884aeda65308044fa13c04"/>
            <w:bookmarkEnd w:id="489"/>
            <w:bookmarkEnd w:id="490"/>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liabilities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91" w:name="XBRL_CS_dc890fdaeb084397b1f3d103ebe46e11"/>
            <w:bookmarkEnd w:id="491"/>
            <w:bookmarkStart w:id="492" w:name="dc890fdaeb084397b1f3d103ebe46e11"/>
            <w:r>
              <w:rPr>
                <w:rFonts w:ascii="Arial" w:eastAsia="Arial" w:hAnsi="Arial" w:cs="Arial"/>
                <w:b/>
                <w:i w:val="0"/>
                <w:strike w:val="0"/>
                <w:color w:val="000000"/>
                <w:sz w:val="13"/>
                <w:u w:val="none"/>
                <w:vertAlign w:val="baseline"/>
              </w:rPr>
              <w:t>1</w:t>
            </w:r>
            <w:bookmarkStart w:id="493" w:name="XBRL_CE_dc890fdaeb084397b1f3d103ebe46e11"/>
            <w:bookmarkEnd w:id="492"/>
            <w:bookmarkEnd w:id="493"/>
          </w:p>
        </w:tc>
        <w:tc>
          <w:tcPr>
            <w:tcW w:w="120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494" w:name="XBRL_CS_b39769f4ce1b46658f22602d7a5968bd"/>
            <w:bookmarkEnd w:id="494"/>
            <w:bookmarkStart w:id="495" w:name="b39769f4ce1b46658f22602d7a5968bd"/>
            <w:r>
              <w:rPr>
                <w:rFonts w:ascii="Arial" w:eastAsia="Arial" w:hAnsi="Arial" w:cs="Arial"/>
                <w:b w:val="0"/>
                <w:i w:val="0"/>
                <w:strike w:val="0"/>
                <w:color w:val="000000"/>
                <w:sz w:val="13"/>
                <w:u w:val="none"/>
                <w:vertAlign w:val="baseline"/>
              </w:rPr>
              <w:t>1</w:t>
            </w:r>
            <w:bookmarkStart w:id="496" w:name="XBRL_CE_b39769f4ce1b46658f22602d7a5968bd"/>
            <w:bookmarkEnd w:id="495"/>
            <w:bookmarkEnd w:id="496"/>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3.4., 4.4.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non-current liabilities</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497" w:name="XBRL_CS_240d47c1ea6e4aa6939187fcdbf40a1c"/>
            <w:bookmarkEnd w:id="497"/>
            <w:bookmarkStart w:id="498" w:name="240d47c1ea6e4aa6939187fcdbf40a1c"/>
            <w:r>
              <w:rPr>
                <w:rFonts w:ascii="Arial" w:eastAsia="Arial" w:hAnsi="Arial" w:cs="Arial"/>
                <w:b/>
                <w:i w:val="0"/>
                <w:strike w:val="0"/>
                <w:color w:val="000000"/>
                <w:sz w:val="13"/>
                <w:u w:val="none"/>
                <w:vertAlign w:val="baseline"/>
              </w:rPr>
              <w:t>1,451</w:t>
            </w:r>
            <w:bookmarkStart w:id="499" w:name="XBRL_CE_240d47c1ea6e4aa6939187fcdbf40a1c"/>
            <w:bookmarkEnd w:id="498"/>
            <w:bookmarkEnd w:id="499"/>
          </w:p>
        </w:tc>
        <w:tc>
          <w:tcPr>
            <w:tcW w:w="120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00" w:name="XBRL_CS_3561da5bb52241908b97d1fa405962a3"/>
            <w:bookmarkEnd w:id="500"/>
            <w:bookmarkStart w:id="501" w:name="3561da5bb52241908b97d1fa405962a3"/>
            <w:r>
              <w:rPr>
                <w:rFonts w:ascii="Arial" w:eastAsia="Arial" w:hAnsi="Arial" w:cs="Arial"/>
                <w:b w:val="0"/>
                <w:i w:val="0"/>
                <w:strike w:val="0"/>
                <w:color w:val="000000"/>
                <w:sz w:val="13"/>
                <w:u w:val="none"/>
                <w:vertAlign w:val="baseline"/>
              </w:rPr>
              <w:t>1,317</w:t>
            </w:r>
            <w:bookmarkStart w:id="502" w:name="XBRL_CE_3561da5bb52241908b97d1fa405962a3"/>
            <w:bookmarkEnd w:id="501"/>
            <w:bookmarkEnd w:id="502"/>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03" w:name="XBRL_CS_5c6faf720c2c4bfc8dfeb42143786563"/>
            <w:bookmarkEnd w:id="503"/>
            <w:bookmarkStart w:id="504" w:name="5c6faf720c2c4bfc8dfeb42143786563"/>
            <w:r>
              <w:rPr>
                <w:rFonts w:ascii="Arial" w:eastAsia="Arial" w:hAnsi="Arial" w:cs="Arial"/>
                <w:b/>
                <w:i w:val="0"/>
                <w:strike w:val="0"/>
                <w:color w:val="000000"/>
                <w:sz w:val="13"/>
                <w:u w:val="none"/>
                <w:vertAlign w:val="baseline"/>
              </w:rPr>
              <w:t>198</w:t>
            </w:r>
            <w:bookmarkStart w:id="505" w:name="XBRL_CE_5c6faf720c2c4bfc8dfeb42143786563"/>
            <w:bookmarkEnd w:id="504"/>
            <w:bookmarkEnd w:id="505"/>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06" w:name="XBRL_CS_cbd3c5baee7044b590412e534d4255f7"/>
            <w:bookmarkEnd w:id="506"/>
            <w:bookmarkStart w:id="507" w:name="cbd3c5baee7044b590412e534d4255f7"/>
            <w:r>
              <w:rPr>
                <w:rFonts w:ascii="Arial" w:eastAsia="Arial" w:hAnsi="Arial" w:cs="Arial"/>
                <w:b w:val="0"/>
                <w:i w:val="0"/>
                <w:strike w:val="0"/>
                <w:color w:val="000000"/>
                <w:sz w:val="13"/>
                <w:u w:val="none"/>
                <w:vertAlign w:val="baseline"/>
              </w:rPr>
              <w:t>99</w:t>
            </w:r>
            <w:bookmarkStart w:id="508" w:name="XBRL_CE_cbd3c5baee7044b590412e534d4255f7"/>
            <w:bookmarkEnd w:id="507"/>
            <w:bookmarkEnd w:id="508"/>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5.2., 5.4., 5.6.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Provisions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09" w:name="XBRL_CS_c0ce1666931b49b296e669b81ce4f76b"/>
            <w:bookmarkEnd w:id="509"/>
            <w:bookmarkStart w:id="510" w:name="c0ce1666931b49b296e669b81ce4f76b"/>
            <w:r>
              <w:rPr>
                <w:rFonts w:ascii="Arial" w:eastAsia="Arial" w:hAnsi="Arial" w:cs="Arial"/>
                <w:b/>
                <w:i w:val="0"/>
                <w:strike w:val="0"/>
                <w:color w:val="000000"/>
                <w:sz w:val="13"/>
                <w:u w:val="none"/>
                <w:vertAlign w:val="baseline"/>
              </w:rPr>
              <w:t>269</w:t>
            </w:r>
            <w:bookmarkStart w:id="511" w:name="XBRL_CE_c0ce1666931b49b296e669b81ce4f76b"/>
            <w:bookmarkEnd w:id="510"/>
            <w:bookmarkEnd w:id="511"/>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12" w:name="XBRL_CS_75bafc38d69e458bb697d45fdbc08d18"/>
            <w:bookmarkEnd w:id="512"/>
            <w:bookmarkStart w:id="513" w:name="75bafc38d69e458bb697d45fdbc08d18"/>
            <w:r>
              <w:rPr>
                <w:rFonts w:ascii="Arial" w:eastAsia="Arial" w:hAnsi="Arial" w:cs="Arial"/>
                <w:b w:val="0"/>
                <w:i w:val="0"/>
                <w:strike w:val="0"/>
                <w:color w:val="000000"/>
                <w:sz w:val="13"/>
                <w:u w:val="none"/>
                <w:vertAlign w:val="baseline"/>
              </w:rPr>
              <w:t>278</w:t>
            </w:r>
            <w:bookmarkStart w:id="514" w:name="XBRL_CE_75bafc38d69e458bb697d45fdbc08d18"/>
            <w:bookmarkEnd w:id="513"/>
            <w:bookmarkEnd w:id="514"/>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15" w:name="XBRL_CS_dc6b948af0a94635a4b02f56a26df416"/>
            <w:bookmarkEnd w:id="515"/>
            <w:bookmarkStart w:id="516" w:name="dc6b948af0a94635a4b02f56a26df416"/>
            <w:r>
              <w:rPr>
                <w:rFonts w:ascii="Arial" w:eastAsia="Arial" w:hAnsi="Arial" w:cs="Arial"/>
                <w:b/>
                <w:i w:val="0"/>
                <w:strike w:val="0"/>
                <w:color w:val="000000"/>
                <w:sz w:val="13"/>
                <w:u w:val="none"/>
                <w:vertAlign w:val="baseline"/>
              </w:rPr>
              <w:t>411</w:t>
            </w:r>
            <w:bookmarkStart w:id="517" w:name="XBRL_CE_dc6b948af0a94635a4b02f56a26df416"/>
            <w:bookmarkEnd w:id="516"/>
            <w:bookmarkEnd w:id="517"/>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18" w:name="XBRL_CS_33326b8a1ee44facb7f4a14b70297343"/>
            <w:bookmarkEnd w:id="518"/>
            <w:bookmarkStart w:id="519" w:name="33326b8a1ee44facb7f4a14b70297343"/>
            <w:r>
              <w:rPr>
                <w:rFonts w:ascii="Arial" w:eastAsia="Arial" w:hAnsi="Arial" w:cs="Arial"/>
                <w:b w:val="0"/>
                <w:i w:val="0"/>
                <w:strike w:val="0"/>
                <w:color w:val="000000"/>
                <w:sz w:val="13"/>
                <w:u w:val="none"/>
                <w:vertAlign w:val="baseline"/>
              </w:rPr>
              <w:t>624</w:t>
            </w:r>
            <w:bookmarkStart w:id="520" w:name="XBRL_CE_33326b8a1ee44facb7f4a14b70297343"/>
            <w:bookmarkEnd w:id="519"/>
            <w:bookmarkEnd w:id="520"/>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4.4., 5.2., 5.6.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 tax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21" w:name="XBRL_CS_aab6e62bd4784ee9a62ed25d23da837f"/>
            <w:bookmarkEnd w:id="521"/>
            <w:bookmarkStart w:id="522" w:name="aab6e62bd4784ee9a62ed25d23da837f"/>
            <w:r>
              <w:rPr>
                <w:rFonts w:ascii="Arial" w:eastAsia="Arial" w:hAnsi="Arial" w:cs="Arial"/>
                <w:b/>
                <w:i w:val="0"/>
                <w:strike w:val="0"/>
                <w:color w:val="000000"/>
                <w:sz w:val="13"/>
                <w:u w:val="none"/>
                <w:vertAlign w:val="baseline"/>
              </w:rPr>
              <w:t>56</w:t>
            </w:r>
            <w:bookmarkStart w:id="523" w:name="XBRL_CE_aab6e62bd4784ee9a62ed25d23da837f"/>
            <w:bookmarkEnd w:id="522"/>
            <w:bookmarkEnd w:id="523"/>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24" w:name="XBRL_CS_a26a64c2242546e097cbffcb9230f9b8"/>
            <w:bookmarkEnd w:id="524"/>
            <w:bookmarkStart w:id="525" w:name="a26a64c2242546e097cbffcb9230f9b8"/>
            <w:r>
              <w:rPr>
                <w:rFonts w:ascii="Arial" w:eastAsia="Arial" w:hAnsi="Arial" w:cs="Arial"/>
                <w:b w:val="0"/>
                <w:i w:val="0"/>
                <w:strike w:val="0"/>
                <w:color w:val="000000"/>
                <w:sz w:val="13"/>
                <w:u w:val="none"/>
                <w:vertAlign w:val="baseline"/>
              </w:rPr>
              <w:t>100</w:t>
            </w:r>
            <w:bookmarkStart w:id="526" w:name="XBRL_CE_a26a64c2242546e097cbffcb9230f9b8"/>
            <w:bookmarkEnd w:id="525"/>
            <w:bookmarkEnd w:id="526"/>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Contract liabilities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27" w:name="XBRL_CS_e7f4cc6aca044cf29226b99614c644ba"/>
            <w:bookmarkEnd w:id="527"/>
            <w:bookmarkStart w:id="528" w:name="e7f4cc6aca044cf29226b99614c644ba"/>
            <w:r>
              <w:rPr>
                <w:rFonts w:ascii="Arial" w:eastAsia="Arial" w:hAnsi="Arial" w:cs="Arial"/>
                <w:b/>
                <w:i w:val="0"/>
                <w:strike w:val="0"/>
                <w:color w:val="000000"/>
                <w:sz w:val="13"/>
                <w:u w:val="none"/>
                <w:vertAlign w:val="baseline"/>
              </w:rPr>
              <w:t>926</w:t>
            </w:r>
            <w:bookmarkStart w:id="529" w:name="XBRL_CE_e7f4cc6aca044cf29226b99614c644ba"/>
            <w:bookmarkEnd w:id="528"/>
            <w:bookmarkEnd w:id="529"/>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30" w:name="XBRL_CS_907fbbbba8ac427f937aea5aa68db60c"/>
            <w:bookmarkEnd w:id="530"/>
            <w:bookmarkStart w:id="531" w:name="907fbbbba8ac427f937aea5aa68db60c"/>
            <w:r>
              <w:rPr>
                <w:rFonts w:ascii="Arial" w:eastAsia="Arial" w:hAnsi="Arial" w:cs="Arial"/>
                <w:b w:val="0"/>
                <w:i w:val="0"/>
                <w:strike w:val="0"/>
                <w:color w:val="000000"/>
                <w:sz w:val="13"/>
                <w:u w:val="none"/>
                <w:vertAlign w:val="baseline"/>
              </w:rPr>
              <w:t>880</w:t>
            </w:r>
            <w:bookmarkStart w:id="532" w:name="XBRL_CE_907fbbbba8ac427f937aea5aa68db60c"/>
            <w:bookmarkEnd w:id="531"/>
            <w:bookmarkEnd w:id="532"/>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4.2.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liabilities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33" w:name="XBRL_CS_bd1a7f2d021141e285b77ec956a861f0"/>
            <w:bookmarkEnd w:id="533"/>
            <w:bookmarkStart w:id="534" w:name="bd1a7f2d021141e285b77ec956a861f0"/>
            <w:r>
              <w:rPr>
                <w:rFonts w:ascii="Arial" w:eastAsia="Arial" w:hAnsi="Arial" w:cs="Arial"/>
                <w:b/>
                <w:i w:val="0"/>
                <w:strike w:val="0"/>
                <w:color w:val="000000"/>
                <w:sz w:val="13"/>
                <w:u w:val="none"/>
                <w:vertAlign w:val="baseline"/>
              </w:rPr>
              <w:t>664</w:t>
            </w:r>
            <w:bookmarkStart w:id="535" w:name="XBRL_CE_bd1a7f2d021141e285b77ec956a861f0"/>
            <w:bookmarkEnd w:id="534"/>
            <w:bookmarkEnd w:id="535"/>
          </w:p>
        </w:tc>
        <w:tc>
          <w:tcPr>
            <w:tcW w:w="120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36" w:name="XBRL_CS_76443251da8343d5bbe727d0d3a6a408"/>
            <w:bookmarkEnd w:id="536"/>
            <w:bookmarkStart w:id="537" w:name="76443251da8343d5bbe727d0d3a6a408"/>
            <w:r>
              <w:rPr>
                <w:rFonts w:ascii="Arial" w:eastAsia="Arial" w:hAnsi="Arial" w:cs="Arial"/>
                <w:b w:val="0"/>
                <w:i w:val="0"/>
                <w:strike w:val="0"/>
                <w:color w:val="000000"/>
                <w:sz w:val="13"/>
                <w:u w:val="none"/>
                <w:vertAlign w:val="baseline"/>
              </w:rPr>
              <w:t>622</w:t>
            </w:r>
            <w:bookmarkStart w:id="538" w:name="XBRL_CE_76443251da8343d5bbe727d0d3a6a408"/>
            <w:bookmarkEnd w:id="537"/>
            <w:bookmarkEnd w:id="538"/>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3.4., 4.4.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current liabilities</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39" w:name="XBRL_CS_7b6c9e1ab017414897e7ea9f71aa4ed2"/>
            <w:bookmarkEnd w:id="539"/>
            <w:bookmarkStart w:id="540" w:name="7b6c9e1ab017414897e7ea9f71aa4ed2"/>
            <w:r>
              <w:rPr>
                <w:rFonts w:ascii="Arial" w:eastAsia="Arial" w:hAnsi="Arial" w:cs="Arial"/>
                <w:b/>
                <w:i w:val="0"/>
                <w:strike w:val="0"/>
                <w:color w:val="000000"/>
                <w:sz w:val="13"/>
                <w:u w:val="none"/>
                <w:vertAlign w:val="baseline"/>
              </w:rPr>
              <w:t>2,524</w:t>
            </w:r>
            <w:bookmarkStart w:id="541" w:name="XBRL_CE_7b6c9e1ab017414897e7ea9f71aa4ed2"/>
            <w:bookmarkEnd w:id="540"/>
            <w:bookmarkEnd w:id="541"/>
          </w:p>
        </w:tc>
        <w:tc>
          <w:tcPr>
            <w:tcW w:w="120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42" w:name="XBRL_CS_ed80fcfa4fc64c9587f869a3b723af6e"/>
            <w:bookmarkEnd w:id="542"/>
            <w:bookmarkStart w:id="543" w:name="ed80fcfa4fc64c9587f869a3b723af6e"/>
            <w:r>
              <w:rPr>
                <w:rFonts w:ascii="Arial" w:eastAsia="Arial" w:hAnsi="Arial" w:cs="Arial"/>
                <w:b w:val="0"/>
                <w:i w:val="0"/>
                <w:strike w:val="0"/>
                <w:color w:val="000000"/>
                <w:sz w:val="13"/>
                <w:u w:val="none"/>
                <w:vertAlign w:val="baseline"/>
              </w:rPr>
              <w:t>2,603</w:t>
            </w:r>
            <w:bookmarkStart w:id="544" w:name="XBRL_CE_ed80fcfa4fc64c9587f869a3b723af6e"/>
            <w:bookmarkEnd w:id="543"/>
            <w:bookmarkEnd w:id="544"/>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liabilities</w:t>
            </w:r>
          </w:p>
        </w:tc>
        <w:tc>
          <w:tcPr>
            <w:tcW w:w="120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45" w:name="XBRL_CS_9de84eb8d4e748fb9bbed310e754d9f2"/>
            <w:bookmarkEnd w:id="545"/>
            <w:bookmarkStart w:id="546" w:name="9de84eb8d4e748fb9bbed310e754d9f2"/>
            <w:r>
              <w:rPr>
                <w:rFonts w:ascii="Arial" w:eastAsia="Arial" w:hAnsi="Arial" w:cs="Arial"/>
                <w:b/>
                <w:i w:val="0"/>
                <w:strike w:val="0"/>
                <w:color w:val="000000"/>
                <w:sz w:val="13"/>
                <w:u w:val="none"/>
                <w:vertAlign w:val="baseline"/>
              </w:rPr>
              <w:t>3,975</w:t>
            </w:r>
            <w:bookmarkStart w:id="547" w:name="XBRL_CE_9de84eb8d4e748fb9bbed310e754d9f2"/>
            <w:bookmarkEnd w:id="546"/>
            <w:bookmarkEnd w:id="547"/>
          </w:p>
        </w:tc>
        <w:tc>
          <w:tcPr>
            <w:tcW w:w="120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48" w:name="XBRL_CS_28ddff99f24f485a96c1c2edc24b7107"/>
            <w:bookmarkEnd w:id="548"/>
            <w:bookmarkStart w:id="549" w:name="28ddff99f24f485a96c1c2edc24b7107"/>
            <w:r>
              <w:rPr>
                <w:rFonts w:ascii="Arial" w:eastAsia="Arial" w:hAnsi="Arial" w:cs="Arial"/>
                <w:b w:val="0"/>
                <w:i w:val="0"/>
                <w:strike w:val="0"/>
                <w:color w:val="000000"/>
                <w:sz w:val="13"/>
                <w:u w:val="none"/>
                <w:vertAlign w:val="baseline"/>
              </w:rPr>
              <w:t>3,920</w:t>
            </w:r>
            <w:bookmarkStart w:id="550" w:name="XBRL_CE_28ddff99f24f485a96c1c2edc24b7107"/>
            <w:bookmarkEnd w:id="549"/>
            <w:bookmarkEnd w:id="550"/>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Liabilities directly attributable to assets held for sale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51" w:name="XBRL_CS_8cec0eb4d7cd4f5bae48e5854e64a871"/>
            <w:bookmarkEnd w:id="551"/>
            <w:bookmarkStart w:id="552" w:name="8cec0eb4d7cd4f5bae48e5854e64a871"/>
            <w:r>
              <w:rPr>
                <w:rFonts w:ascii="Arial" w:eastAsia="Arial" w:hAnsi="Arial" w:cs="Arial"/>
                <w:b/>
                <w:i w:val="0"/>
                <w:strike w:val="0"/>
                <w:color w:val="000000"/>
                <w:sz w:val="13"/>
                <w:u w:val="none"/>
                <w:vertAlign w:val="baseline"/>
              </w:rPr>
              <w:t>68</w:t>
            </w:r>
            <w:bookmarkStart w:id="553" w:name="XBRL_CE_8cec0eb4d7cd4f5bae48e5854e64a871"/>
            <w:bookmarkEnd w:id="552"/>
            <w:bookmarkEnd w:id="553"/>
          </w:p>
        </w:tc>
        <w:tc>
          <w:tcPr>
            <w:tcW w:w="120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54" w:name="XBRL_CS_029cc8a3b2794051bc2d44d19b5b839f"/>
            <w:bookmarkEnd w:id="554"/>
            <w:bookmarkStart w:id="555" w:name="029cc8a3b2794051bc2d44d19b5b839f"/>
            <w:r>
              <w:rPr>
                <w:rFonts w:ascii="Arial" w:eastAsia="Arial" w:hAnsi="Arial" w:cs="Arial"/>
                <w:b w:val="0"/>
                <w:i w:val="0"/>
                <w:strike w:val="0"/>
                <w:color w:val="000000"/>
                <w:sz w:val="13"/>
                <w:u w:val="none"/>
                <w:vertAlign w:val="baseline"/>
              </w:rPr>
              <w:t>68</w:t>
            </w:r>
            <w:bookmarkStart w:id="556" w:name="XBRL_CE_029cc8a3b2794051bc2d44d19b5b839f"/>
            <w:bookmarkEnd w:id="555"/>
            <w:bookmarkEnd w:id="556"/>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single"/>
                <w:vertAlign w:val="baseline"/>
              </w:rPr>
            </w:pPr>
            <w:r>
              <w:rPr>
                <w:rFonts w:ascii="Arial" w:eastAsia="Arial" w:hAnsi="Arial" w:cs="Arial"/>
                <w:b w:val="0"/>
                <w:i w:val="0"/>
                <w:strike w:val="0"/>
                <w:color w:val="E56D0A"/>
                <w:sz w:val="13"/>
                <w:u w:val="single"/>
                <w:vertAlign w:val="baseline"/>
              </w:rPr>
              <w:t>6.3.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38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equity and liabilities</w:t>
            </w:r>
          </w:p>
        </w:tc>
        <w:tc>
          <w:tcPr>
            <w:tcW w:w="120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57" w:name="XBRL_CS_71bf16f28eee4191820e61c892dd0d90"/>
            <w:bookmarkEnd w:id="557"/>
            <w:bookmarkStart w:id="558" w:name="71bf16f28eee4191820e61c892dd0d90"/>
            <w:r>
              <w:rPr>
                <w:rFonts w:ascii="Arial" w:eastAsia="Arial" w:hAnsi="Arial" w:cs="Arial"/>
                <w:b/>
                <w:i w:val="0"/>
                <w:strike w:val="0"/>
                <w:color w:val="000000"/>
                <w:sz w:val="13"/>
                <w:u w:val="none"/>
                <w:vertAlign w:val="baseline"/>
              </w:rPr>
              <w:t>6,232</w:t>
            </w:r>
            <w:bookmarkStart w:id="559" w:name="XBRL_CE_71bf16f28eee4191820e61c892dd0d90"/>
            <w:bookmarkEnd w:id="558"/>
            <w:bookmarkEnd w:id="559"/>
          </w:p>
        </w:tc>
        <w:tc>
          <w:tcPr>
            <w:tcW w:w="120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60" w:name="XBRL_CS_2f813372bfb24ed6874969282c33a90e"/>
            <w:bookmarkEnd w:id="560"/>
            <w:bookmarkStart w:id="561" w:name="2f813372bfb24ed6874969282c33a90e"/>
            <w:r>
              <w:rPr>
                <w:rFonts w:ascii="Arial" w:eastAsia="Arial" w:hAnsi="Arial" w:cs="Arial"/>
                <w:b w:val="0"/>
                <w:i w:val="0"/>
                <w:strike w:val="0"/>
                <w:color w:val="000000"/>
                <w:sz w:val="13"/>
                <w:u w:val="none"/>
                <w:vertAlign w:val="baseline"/>
              </w:rPr>
              <w:t>6,398</w:t>
            </w:r>
            <w:bookmarkStart w:id="562" w:name="XBRL_CE_2f813372bfb24ed6874969282c33a90e"/>
            <w:bookmarkEnd w:id="561"/>
            <w:bookmarkEnd w:id="562"/>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bl>
    <w:p w:rsidR="009450DE" w:rsidP="00E2052E" w14:paraId="3274D0E4" w14:textId="77777777">
      <w:pPr>
        <w:pStyle w:val="Bodytext2"/>
      </w:pPr>
      <w:bookmarkStart w:id="563" w:name="RG_MARKER_4497"/>
      <w:bookmarkEnd w:id="563"/>
    </w:p>
    <w:p w:rsidR="00E2052E" w:rsidRPr="00F05ECB" w:rsidP="00E2052E" w14:textId="51BBF362">
      <w:pPr>
        <w:pStyle w:val="Bodytext2"/>
        <w:rPr>
          <w:sz w:val="2"/>
          <w:szCs w:val="2"/>
        </w:rPr>
      </w:pPr>
      <w:r w:rsidRPr="00E2052E">
        <w:t>The notes are an integral part of these consolidated financial statements.</w:t>
      </w:r>
      <w:r>
        <w:br w:type="column"/>
      </w:r>
    </w:p>
    <w:p w:rsidR="005D1654" w:rsidRPr="00561A43" w:rsidP="00561A43" w14:paraId="58F87FB6" w14:textId="06A66602">
      <w:pPr>
        <w:pStyle w:val="Heading10"/>
        <w:rPr>
          <w:rFonts w:eastAsiaTheme="minorEastAsia"/>
          <w:lang w:eastAsia="fi-FI"/>
        </w:rPr>
      </w:pPr>
      <w:bookmarkStart w:id="564" w:name="RG_MARKER_4199"/>
      <w:r>
        <w:t>CONSOLIDATED STATEMENT OF CASH FLOWS</w:t>
      </w:r>
      <w:bookmarkEnd w:id="564"/>
    </w:p>
    <w:p/>
    <w:tbl>
      <w:tblPr>
        <w:tblStyle w:val="CDMRange2"/>
        <w:tblW w:w="7365" w:type="dxa"/>
        <w:tblLayout w:type="fixed"/>
        <w:tblLook w:val="0600"/>
      </w:tblPr>
      <w:tblGrid>
        <w:gridCol w:w="3885"/>
        <w:gridCol w:w="1200"/>
        <w:gridCol w:w="1200"/>
        <w:gridCol w:w="1080"/>
      </w:tblGrid>
      <w:tr>
        <w:tblPrEx>
          <w:tblW w:w="7365" w:type="dxa"/>
          <w:tblLayout w:type="fixed"/>
          <w:tblLook w:val="0600"/>
        </w:tblPrEx>
        <w:trPr>
          <w:trHeight w:hRule="exact" w:val="240"/>
        </w:trPr>
        <w:tc>
          <w:tcPr>
            <w:tcW w:w="38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0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0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Note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operating activities:</w:t>
            </w:r>
          </w:p>
        </w:tc>
        <w:tc>
          <w:tcPr>
            <w:tcW w:w="120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for the financial period</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65" w:name="XBRL_CS_470167a9d84a4391bd5404c7885503d9"/>
            <w:bookmarkEnd w:id="565"/>
            <w:bookmarkStart w:id="566" w:name="470167a9d84a4391bd5404c7885503d9"/>
            <w:r>
              <w:rPr>
                <w:rFonts w:ascii="Arial" w:eastAsia="Arial" w:hAnsi="Arial" w:cs="Arial"/>
                <w:b/>
                <w:i w:val="0"/>
                <w:strike w:val="0"/>
                <w:color w:val="000000"/>
                <w:sz w:val="13"/>
                <w:u w:val="none"/>
                <w:vertAlign w:val="baseline"/>
              </w:rPr>
              <w:t>133</w:t>
            </w:r>
            <w:bookmarkStart w:id="567" w:name="XBRL_CE_470167a9d84a4391bd5404c7885503d9"/>
            <w:bookmarkEnd w:id="566"/>
            <w:bookmarkEnd w:id="567"/>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68" w:name="XBRL_CS_4627f347a1c14afe9d4ea7627b347473"/>
            <w:bookmarkEnd w:id="568"/>
            <w:bookmarkStart w:id="569" w:name="4627f347a1c14afe9d4ea7627b347473"/>
            <w:r>
              <w:rPr>
                <w:rFonts w:ascii="Arial" w:eastAsia="Arial" w:hAnsi="Arial" w:cs="Arial"/>
                <w:b w:val="0"/>
                <w:i w:val="0"/>
                <w:strike w:val="0"/>
                <w:color w:val="000000"/>
                <w:sz w:val="13"/>
                <w:u w:val="none"/>
                <w:vertAlign w:val="baseline"/>
              </w:rPr>
              <w:t>218</w:t>
            </w:r>
            <w:bookmarkStart w:id="570" w:name="XBRL_CE_4627f347a1c14afe9d4ea7627b347473"/>
            <w:bookmarkEnd w:id="569"/>
            <w:bookmarkEnd w:id="570"/>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Adjustments for:</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amortisation and impairment</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71" w:name="XBRL_CS_0580d0191f1f4a09ac3819a7a9af32a1"/>
            <w:bookmarkEnd w:id="571"/>
            <w:bookmarkStart w:id="572" w:name="0580d0191f1f4a09ac3819a7a9af32a1"/>
            <w:r>
              <w:rPr>
                <w:rFonts w:ascii="Arial" w:eastAsia="Arial" w:hAnsi="Arial" w:cs="Arial"/>
                <w:b/>
                <w:i w:val="0"/>
                <w:strike w:val="0"/>
                <w:color w:val="000000"/>
                <w:sz w:val="13"/>
                <w:u w:val="none"/>
                <w:vertAlign w:val="baseline"/>
              </w:rPr>
              <w:t>174</w:t>
            </w:r>
            <w:bookmarkStart w:id="573" w:name="XBRL_CE_0580d0191f1f4a09ac3819a7a9af32a1"/>
            <w:bookmarkEnd w:id="572"/>
            <w:bookmarkEnd w:id="573"/>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74" w:name="XBRL_CS_8f2ed0225af6468293f2b31d8ae90a0a"/>
            <w:bookmarkEnd w:id="574"/>
            <w:bookmarkStart w:id="575" w:name="8f2ed0225af6468293f2b31d8ae90a0a"/>
            <w:r>
              <w:rPr>
                <w:rFonts w:ascii="Arial" w:eastAsia="Arial" w:hAnsi="Arial" w:cs="Arial"/>
                <w:b w:val="0"/>
                <w:i w:val="0"/>
                <w:strike w:val="0"/>
                <w:color w:val="000000"/>
                <w:sz w:val="13"/>
                <w:u w:val="none"/>
                <w:vertAlign w:val="baseline"/>
              </w:rPr>
              <w:t>180</w:t>
            </w:r>
            <w:bookmarkStart w:id="576" w:name="XBRL_CE_8f2ed0225af6468293f2b31d8ae90a0a"/>
            <w:bookmarkEnd w:id="575"/>
            <w:bookmarkEnd w:id="576"/>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3.5.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Financial income and expenses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77" w:name="XBRL_CS_c89a34091672442db30dea540341677c"/>
            <w:bookmarkEnd w:id="577"/>
            <w:bookmarkStart w:id="578" w:name="c89a34091672442db30dea540341677c"/>
            <w:r>
              <w:rPr>
                <w:rFonts w:ascii="Arial" w:eastAsia="Arial" w:hAnsi="Arial" w:cs="Arial"/>
                <w:b/>
                <w:i w:val="0"/>
                <w:strike w:val="0"/>
                <w:color w:val="000000"/>
                <w:sz w:val="13"/>
                <w:u w:val="none"/>
                <w:vertAlign w:val="baseline"/>
              </w:rPr>
              <w:t>43</w:t>
            </w:r>
            <w:bookmarkStart w:id="579" w:name="XBRL_CE_c89a34091672442db30dea540341677c"/>
            <w:bookmarkEnd w:id="578"/>
            <w:bookmarkEnd w:id="579"/>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80" w:name="XBRL_CS_ee6652620ab44e5c81e4040ebfea9a5e"/>
            <w:bookmarkEnd w:id="580"/>
            <w:bookmarkStart w:id="581" w:name="ee6652620ab44e5c81e4040ebfea9a5e"/>
            <w:r>
              <w:rPr>
                <w:rFonts w:ascii="Arial" w:eastAsia="Arial" w:hAnsi="Arial" w:cs="Arial"/>
                <w:b w:val="0"/>
                <w:i w:val="0"/>
                <w:strike w:val="0"/>
                <w:color w:val="000000"/>
                <w:sz w:val="13"/>
                <w:u w:val="none"/>
                <w:vertAlign w:val="baseline"/>
              </w:rPr>
              <w:t>47</w:t>
            </w:r>
            <w:bookmarkStart w:id="582" w:name="XBRL_CE_ee6652620ab44e5c81e4040ebfea9a5e"/>
            <w:bookmarkEnd w:id="581"/>
            <w:bookmarkEnd w:id="582"/>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5.1.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Gains and losses on sale of intangible assets and property, plant and equipment and other changes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83" w:name="XBRL_CS_635e66ab4d0d4da384955191fe124b3f"/>
            <w:bookmarkEnd w:id="583"/>
            <w:bookmarkStart w:id="584" w:name="635e66ab4d0d4da384955191fe124b3f"/>
            <w:r>
              <w:rPr>
                <w:rFonts w:ascii="Arial" w:eastAsia="Arial" w:hAnsi="Arial" w:cs="Arial"/>
                <w:b/>
                <w:i w:val="0"/>
                <w:strike w:val="0"/>
                <w:color w:val="000000"/>
                <w:sz w:val="13"/>
                <w:u w:val="none"/>
                <w:vertAlign w:val="baseline"/>
              </w:rPr>
              <w:t>-9</w:t>
            </w:r>
            <w:bookmarkStart w:id="585" w:name="XBRL_CE_635e66ab4d0d4da384955191fe124b3f"/>
            <w:bookmarkEnd w:id="584"/>
            <w:bookmarkEnd w:id="585"/>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86" w:name="XBRL_CS_86e41ffeddf54ac8a2728e838702a95b"/>
            <w:bookmarkEnd w:id="586"/>
            <w:bookmarkStart w:id="587" w:name="86e41ffeddf54ac8a2728e838702a95b"/>
            <w:r>
              <w:rPr>
                <w:rFonts w:ascii="Arial" w:eastAsia="Arial" w:hAnsi="Arial" w:cs="Arial"/>
                <w:b w:val="0"/>
                <w:i w:val="0"/>
                <w:strike w:val="0"/>
                <w:color w:val="000000"/>
                <w:sz w:val="13"/>
                <w:u w:val="none"/>
                <w:vertAlign w:val="baseline"/>
              </w:rPr>
              <w:t>-15</w:t>
            </w:r>
            <w:bookmarkStart w:id="588" w:name="XBRL_CE_86e41ffeddf54ac8a2728e838702a95b"/>
            <w:bookmarkEnd w:id="587"/>
            <w:bookmarkEnd w:id="588"/>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of result of associates and joint ventures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89" w:name="XBRL_CS_91ce4ba52d6d4a2c95fd355356bf51cc"/>
            <w:bookmarkEnd w:id="589"/>
            <w:bookmarkStart w:id="590" w:name="91ce4ba52d6d4a2c95fd355356bf51cc"/>
            <w:r>
              <w:rPr>
                <w:rFonts w:ascii="Arial" w:eastAsia="Arial" w:hAnsi="Arial" w:cs="Arial"/>
                <w:b/>
                <w:i w:val="0"/>
                <w:strike w:val="0"/>
                <w:color w:val="000000"/>
                <w:sz w:val="13"/>
                <w:u w:val="none"/>
                <w:vertAlign w:val="baseline"/>
              </w:rPr>
              <w:t>-3</w:t>
            </w:r>
            <w:bookmarkStart w:id="591" w:name="XBRL_CE_91ce4ba52d6d4a2c95fd355356bf51cc"/>
            <w:bookmarkEnd w:id="590"/>
            <w:bookmarkEnd w:id="591"/>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92" w:name="XBRL_CS_3401022329b6432a9e72ce590d4053c9"/>
            <w:bookmarkEnd w:id="592"/>
            <w:bookmarkStart w:id="593" w:name="3401022329b6432a9e72ce590d4053c9"/>
            <w:r>
              <w:rPr>
                <w:rFonts w:ascii="Arial" w:eastAsia="Arial" w:hAnsi="Arial" w:cs="Arial"/>
                <w:b w:val="0"/>
                <w:i w:val="0"/>
                <w:strike w:val="0"/>
                <w:color w:val="000000"/>
                <w:sz w:val="13"/>
                <w:u w:val="none"/>
                <w:vertAlign w:val="baseline"/>
              </w:rPr>
              <w:t>9</w:t>
            </w:r>
            <w:bookmarkStart w:id="594" w:name="XBRL_CE_3401022329b6432a9e72ce590d4053c9"/>
            <w:bookmarkEnd w:id="593"/>
            <w:bookmarkEnd w:id="594"/>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6.4.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4" w:space="0" w:color="004A6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taxes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595" w:name="XBRL_CS_e0bc3716bc6f4201b05bd0eaf5c8f45f"/>
            <w:bookmarkEnd w:id="595"/>
            <w:bookmarkStart w:id="596" w:name="e0bc3716bc6f4201b05bd0eaf5c8f45f"/>
            <w:r>
              <w:rPr>
                <w:rFonts w:ascii="Arial" w:eastAsia="Arial" w:hAnsi="Arial" w:cs="Arial"/>
                <w:b/>
                <w:i w:val="0"/>
                <w:strike w:val="0"/>
                <w:color w:val="000000"/>
                <w:sz w:val="13"/>
                <w:u w:val="none"/>
                <w:vertAlign w:val="baseline"/>
              </w:rPr>
              <w:t>58</w:t>
            </w:r>
            <w:bookmarkStart w:id="597" w:name="XBRL_CE_e0bc3716bc6f4201b05bd0eaf5c8f45f"/>
            <w:bookmarkEnd w:id="596"/>
            <w:bookmarkEnd w:id="597"/>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598" w:name="XBRL_CS_1814e53b478a4363ad9a2fed150315e3"/>
            <w:bookmarkEnd w:id="598"/>
            <w:bookmarkStart w:id="599" w:name="1814e53b478a4363ad9a2fed150315e3"/>
            <w:r>
              <w:rPr>
                <w:rFonts w:ascii="Arial" w:eastAsia="Arial" w:hAnsi="Arial" w:cs="Arial"/>
                <w:b w:val="0"/>
                <w:i w:val="0"/>
                <w:strike w:val="0"/>
                <w:color w:val="000000"/>
                <w:sz w:val="13"/>
                <w:u w:val="none"/>
                <w:vertAlign w:val="baseline"/>
              </w:rPr>
              <w:t>97</w:t>
            </w:r>
            <w:bookmarkStart w:id="600" w:name="XBRL_CE_1814e53b478a4363ad9a2fed150315e3"/>
            <w:bookmarkEnd w:id="599"/>
            <w:bookmarkEnd w:id="600"/>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2.6.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non-cash flow adjustments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01" w:name="XBRL_CS_397f92c9ac384e378bdcf0e1d26fce6d"/>
            <w:bookmarkEnd w:id="601"/>
            <w:bookmarkStart w:id="602" w:name="397f92c9ac384e378bdcf0e1d26fce6d"/>
            <w:r>
              <w:rPr>
                <w:rFonts w:ascii="Arial" w:eastAsia="Arial" w:hAnsi="Arial" w:cs="Arial"/>
                <w:b/>
                <w:i w:val="0"/>
                <w:strike w:val="0"/>
                <w:color w:val="000000"/>
                <w:sz w:val="13"/>
                <w:u w:val="none"/>
                <w:vertAlign w:val="baseline"/>
              </w:rPr>
              <w:t>7</w:t>
            </w:r>
            <w:bookmarkStart w:id="603" w:name="XBRL_CE_397f92c9ac384e378bdcf0e1d26fce6d"/>
            <w:bookmarkEnd w:id="602"/>
            <w:bookmarkEnd w:id="603"/>
          </w:p>
        </w:tc>
        <w:tc>
          <w:tcPr>
            <w:tcW w:w="120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04" w:name="XBRL_CS_98618db01a55403bbda9072c8bd0eb76"/>
            <w:bookmarkEnd w:id="604"/>
            <w:bookmarkStart w:id="605" w:name="98618db01a55403bbda9072c8bd0eb76"/>
            <w:r>
              <w:rPr>
                <w:rFonts w:ascii="Arial" w:eastAsia="Arial" w:hAnsi="Arial" w:cs="Arial"/>
                <w:b w:val="0"/>
                <w:i w:val="0"/>
                <w:strike w:val="0"/>
                <w:color w:val="000000"/>
                <w:sz w:val="13"/>
                <w:u w:val="none"/>
                <w:vertAlign w:val="baseline"/>
              </w:rPr>
              <w:t>3</w:t>
            </w:r>
            <w:bookmarkStart w:id="606" w:name="XBRL_CE_98618db01a55403bbda9072c8bd0eb76"/>
            <w:bookmarkEnd w:id="605"/>
            <w:bookmarkEnd w:id="606"/>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before changes in working capital</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07" w:name="XBRL_CS_d85f7dd627034a87acfcc10291e3978e"/>
            <w:bookmarkEnd w:id="607"/>
            <w:bookmarkStart w:id="608" w:name="d85f7dd627034a87acfcc10291e3978e"/>
            <w:r>
              <w:rPr>
                <w:rFonts w:ascii="Arial" w:eastAsia="Arial" w:hAnsi="Arial" w:cs="Arial"/>
                <w:b/>
                <w:i w:val="0"/>
                <w:strike w:val="0"/>
                <w:color w:val="000000"/>
                <w:sz w:val="13"/>
                <w:u w:val="none"/>
                <w:vertAlign w:val="baseline"/>
              </w:rPr>
              <w:t>403</w:t>
            </w:r>
            <w:bookmarkStart w:id="609" w:name="XBRL_CE_d85f7dd627034a87acfcc10291e3978e"/>
            <w:bookmarkEnd w:id="608"/>
            <w:bookmarkEnd w:id="609"/>
          </w:p>
        </w:tc>
        <w:tc>
          <w:tcPr>
            <w:tcW w:w="120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10" w:name="XBRL_CS_1e05be62276349789f965c767437ee20"/>
            <w:bookmarkEnd w:id="610"/>
            <w:bookmarkStart w:id="611" w:name="1e05be62276349789f965c767437ee20"/>
            <w:r>
              <w:rPr>
                <w:rFonts w:ascii="Arial" w:eastAsia="Arial" w:hAnsi="Arial" w:cs="Arial"/>
                <w:b w:val="0"/>
                <w:i w:val="0"/>
                <w:strike w:val="0"/>
                <w:color w:val="000000"/>
                <w:sz w:val="13"/>
                <w:u w:val="none"/>
                <w:vertAlign w:val="baseline"/>
              </w:rPr>
              <w:t>540</w:t>
            </w:r>
            <w:bookmarkStart w:id="612" w:name="XBRL_CE_1e05be62276349789f965c767437ee20"/>
            <w:bookmarkEnd w:id="611"/>
            <w:bookmarkEnd w:id="612"/>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Changes in working capital:</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Receivables, non-interest-bearing, increase (-) / decrease (+)</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13" w:name="XBRL_CS_d995889e1c9647dfac46f71049633df8"/>
            <w:bookmarkEnd w:id="613"/>
            <w:bookmarkStart w:id="614" w:name="d995889e1c9647dfac46f71049633df8"/>
            <w:r>
              <w:rPr>
                <w:rFonts w:ascii="Arial" w:eastAsia="Arial" w:hAnsi="Arial" w:cs="Arial"/>
                <w:b/>
                <w:i w:val="0"/>
                <w:strike w:val="0"/>
                <w:color w:val="000000"/>
                <w:sz w:val="13"/>
                <w:u w:val="none"/>
                <w:vertAlign w:val="baseline"/>
              </w:rPr>
              <w:t>338</w:t>
            </w:r>
            <w:bookmarkStart w:id="615" w:name="XBRL_CE_d995889e1c9647dfac46f71049633df8"/>
            <w:bookmarkEnd w:id="614"/>
            <w:bookmarkEnd w:id="615"/>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16" w:name="XBRL_CS_33633314bda240b18ef05301e1073afa"/>
            <w:bookmarkEnd w:id="616"/>
            <w:bookmarkStart w:id="617" w:name="33633314bda240b18ef05301e1073afa"/>
            <w:r>
              <w:rPr>
                <w:rFonts w:ascii="Arial" w:eastAsia="Arial" w:hAnsi="Arial" w:cs="Arial"/>
                <w:b w:val="0"/>
                <w:i w:val="0"/>
                <w:strike w:val="0"/>
                <w:color w:val="000000"/>
                <w:sz w:val="13"/>
                <w:u w:val="none"/>
                <w:vertAlign w:val="baseline"/>
              </w:rPr>
              <w:t>9</w:t>
            </w:r>
            <w:bookmarkStart w:id="618" w:name="XBRL_CE_33633314bda240b18ef05301e1073afa"/>
            <w:bookmarkEnd w:id="617"/>
            <w:bookmarkEnd w:id="618"/>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Inventories, increase (-) / decrease (+)</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19" w:name="XBRL_CS_4e463b51504f4ccf86007e5d353a0dfb"/>
            <w:bookmarkEnd w:id="619"/>
            <w:bookmarkStart w:id="620" w:name="4e463b51504f4ccf86007e5d353a0dfb"/>
            <w:r>
              <w:rPr>
                <w:rFonts w:ascii="Arial" w:eastAsia="Arial" w:hAnsi="Arial" w:cs="Arial"/>
                <w:b/>
                <w:i w:val="0"/>
                <w:strike w:val="0"/>
                <w:color w:val="000000"/>
                <w:sz w:val="13"/>
                <w:u w:val="none"/>
                <w:vertAlign w:val="baseline"/>
              </w:rPr>
              <w:t>122</w:t>
            </w:r>
            <w:bookmarkStart w:id="621" w:name="XBRL_CE_4e463b51504f4ccf86007e5d353a0dfb"/>
            <w:bookmarkEnd w:id="620"/>
            <w:bookmarkEnd w:id="621"/>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22" w:name="XBRL_CS_275eccd9b85e488e9bb65df250a06e9e"/>
            <w:bookmarkEnd w:id="622"/>
            <w:bookmarkStart w:id="623" w:name="275eccd9b85e488e9bb65df250a06e9e"/>
            <w:r>
              <w:rPr>
                <w:rFonts w:ascii="Arial" w:eastAsia="Arial" w:hAnsi="Arial" w:cs="Arial"/>
                <w:b w:val="0"/>
                <w:i w:val="0"/>
                <w:strike w:val="0"/>
                <w:color w:val="000000"/>
                <w:sz w:val="13"/>
                <w:u w:val="none"/>
                <w:vertAlign w:val="baseline"/>
              </w:rPr>
              <w:t>-213</w:t>
            </w:r>
            <w:bookmarkStart w:id="624" w:name="XBRL_CE_275eccd9b85e488e9bb65df250a06e9e"/>
            <w:bookmarkEnd w:id="623"/>
            <w:bookmarkEnd w:id="624"/>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4.1.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Liabilities, non-interest-bearing, increase (+) / decrease (-)</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25" w:name="XBRL_CS_fd7ad8e887124efeb7337ed2e57f250c"/>
            <w:bookmarkEnd w:id="625"/>
            <w:bookmarkStart w:id="626" w:name="fd7ad8e887124efeb7337ed2e57f250c"/>
            <w:r>
              <w:rPr>
                <w:rFonts w:ascii="Arial" w:eastAsia="Arial" w:hAnsi="Arial" w:cs="Arial"/>
                <w:b/>
                <w:i w:val="0"/>
                <w:strike w:val="0"/>
                <w:color w:val="000000"/>
                <w:sz w:val="13"/>
                <w:u w:val="none"/>
                <w:vertAlign w:val="baseline"/>
              </w:rPr>
              <w:t>-32</w:t>
            </w:r>
            <w:bookmarkStart w:id="627" w:name="XBRL_CE_fd7ad8e887124efeb7337ed2e57f250c"/>
            <w:bookmarkEnd w:id="626"/>
            <w:bookmarkEnd w:id="627"/>
          </w:p>
        </w:tc>
        <w:tc>
          <w:tcPr>
            <w:tcW w:w="120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28" w:name="XBRL_CS_5ddd948d7f1449b499645307e435d7ce"/>
            <w:bookmarkEnd w:id="628"/>
            <w:bookmarkStart w:id="629" w:name="5ddd948d7f1449b499645307e435d7ce"/>
            <w:r>
              <w:rPr>
                <w:rFonts w:ascii="Arial" w:eastAsia="Arial" w:hAnsi="Arial" w:cs="Arial"/>
                <w:b w:val="0"/>
                <w:i w:val="0"/>
                <w:strike w:val="0"/>
                <w:color w:val="000000"/>
                <w:sz w:val="13"/>
                <w:u w:val="none"/>
                <w:vertAlign w:val="baseline"/>
              </w:rPr>
              <w:t>74</w:t>
            </w:r>
            <w:bookmarkStart w:id="630" w:name="XBRL_CE_5ddd948d7f1449b499645307e435d7ce"/>
            <w:bookmarkEnd w:id="629"/>
            <w:bookmarkEnd w:id="630"/>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working capital</w:t>
            </w:r>
          </w:p>
        </w:tc>
        <w:tc>
          <w:tcPr>
            <w:tcW w:w="120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31" w:name="XBRL_CS_1d758003b8604bb3a1d785fc4cf888e9"/>
            <w:bookmarkEnd w:id="631"/>
            <w:bookmarkStart w:id="632" w:name="1d758003b8604bb3a1d785fc4cf888e9"/>
            <w:r>
              <w:rPr>
                <w:rFonts w:ascii="Arial" w:eastAsia="Arial" w:hAnsi="Arial" w:cs="Arial"/>
                <w:b/>
                <w:i w:val="0"/>
                <w:strike w:val="0"/>
                <w:color w:val="000000"/>
                <w:sz w:val="13"/>
                <w:u w:val="none"/>
                <w:vertAlign w:val="baseline"/>
              </w:rPr>
              <w:t>428</w:t>
            </w:r>
            <w:bookmarkStart w:id="633" w:name="XBRL_CE_1d758003b8604bb3a1d785fc4cf888e9"/>
            <w:bookmarkEnd w:id="632"/>
            <w:bookmarkEnd w:id="633"/>
          </w:p>
        </w:tc>
        <w:tc>
          <w:tcPr>
            <w:tcW w:w="120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34" w:name="XBRL_CS_a1fb1506bdfe436db95168c8b8ad7af4"/>
            <w:bookmarkEnd w:id="634"/>
            <w:bookmarkStart w:id="635" w:name="a1fb1506bdfe436db95168c8b8ad7af4"/>
            <w:r>
              <w:rPr>
                <w:rFonts w:ascii="Arial" w:eastAsia="Arial" w:hAnsi="Arial" w:cs="Arial"/>
                <w:b w:val="0"/>
                <w:i w:val="0"/>
                <w:strike w:val="0"/>
                <w:color w:val="000000"/>
                <w:sz w:val="13"/>
                <w:u w:val="none"/>
                <w:vertAlign w:val="baseline"/>
              </w:rPr>
              <w:t>-130</w:t>
            </w:r>
            <w:bookmarkStart w:id="636" w:name="XBRL_CE_a1fb1506bdfe436db95168c8b8ad7af4"/>
            <w:bookmarkEnd w:id="635"/>
            <w:bookmarkEnd w:id="636"/>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operating activities before financial items and taxes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37" w:name="XBRL_CS_4fd779422a1b4c51b46e2ae9426f2ee0"/>
            <w:bookmarkEnd w:id="637"/>
            <w:bookmarkStart w:id="638" w:name="4fd779422a1b4c51b46e2ae9426f2ee0"/>
            <w:r>
              <w:rPr>
                <w:rFonts w:ascii="Arial" w:eastAsia="Arial" w:hAnsi="Arial" w:cs="Arial"/>
                <w:b/>
                <w:i w:val="0"/>
                <w:strike w:val="0"/>
                <w:color w:val="000000"/>
                <w:sz w:val="13"/>
                <w:u w:val="none"/>
                <w:vertAlign w:val="baseline"/>
              </w:rPr>
              <w:t>832</w:t>
            </w:r>
            <w:bookmarkStart w:id="639" w:name="XBRL_CE_4fd779422a1b4c51b46e2ae9426f2ee0"/>
            <w:bookmarkEnd w:id="638"/>
            <w:bookmarkEnd w:id="639"/>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40" w:name="XBRL_CS_d09b6b301c194fcaa7235b25eeb1172c"/>
            <w:bookmarkEnd w:id="640"/>
            <w:bookmarkStart w:id="641" w:name="d09b6b301c194fcaa7235b25eeb1172c"/>
            <w:r>
              <w:rPr>
                <w:rFonts w:ascii="Arial" w:eastAsia="Arial" w:hAnsi="Arial" w:cs="Arial"/>
                <w:b w:val="0"/>
                <w:i w:val="0"/>
                <w:strike w:val="0"/>
                <w:color w:val="000000"/>
                <w:sz w:val="13"/>
                <w:u w:val="none"/>
                <w:vertAlign w:val="baseline"/>
              </w:rPr>
              <w:t>410</w:t>
            </w:r>
            <w:bookmarkStart w:id="642" w:name="XBRL_CE_d09b6b301c194fcaa7235b25eeb1172c"/>
            <w:bookmarkEnd w:id="641"/>
            <w:bookmarkEnd w:id="642"/>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Financial items and taxes:</w:t>
            </w:r>
          </w:p>
        </w:tc>
        <w:tc>
          <w:tcPr>
            <w:tcW w:w="120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income</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43" w:name="XBRL_CS_f77b8dc72c1747639e838fcdb1f3a545"/>
            <w:bookmarkEnd w:id="643"/>
            <w:bookmarkStart w:id="644" w:name="f77b8dc72c1747639e838fcdb1f3a545"/>
            <w:r>
              <w:rPr>
                <w:rFonts w:ascii="Arial" w:eastAsia="Arial" w:hAnsi="Arial" w:cs="Arial"/>
                <w:b/>
                <w:i w:val="0"/>
                <w:strike w:val="0"/>
                <w:color w:val="000000"/>
                <w:sz w:val="13"/>
                <w:u w:val="none"/>
                <w:vertAlign w:val="baseline"/>
              </w:rPr>
              <w:t>4</w:t>
            </w:r>
            <w:bookmarkStart w:id="645" w:name="XBRL_CE_f77b8dc72c1747639e838fcdb1f3a545"/>
            <w:bookmarkEnd w:id="644"/>
            <w:bookmarkEnd w:id="645"/>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46" w:name="XBRL_CS_8d897a3289c14c218eee2a8756e6197b"/>
            <w:bookmarkEnd w:id="646"/>
            <w:bookmarkStart w:id="647" w:name="8d897a3289c14c218eee2a8756e6197b"/>
            <w:r>
              <w:rPr>
                <w:rFonts w:ascii="Arial" w:eastAsia="Arial" w:hAnsi="Arial" w:cs="Arial"/>
                <w:b w:val="0"/>
                <w:i w:val="0"/>
                <w:strike w:val="0"/>
                <w:color w:val="000000"/>
                <w:sz w:val="13"/>
                <w:u w:val="none"/>
                <w:vertAlign w:val="baseline"/>
              </w:rPr>
              <w:t>4</w:t>
            </w:r>
            <w:bookmarkStart w:id="648" w:name="XBRL_CE_8d897a3289c14c218eee2a8756e6197b"/>
            <w:bookmarkEnd w:id="647"/>
            <w:bookmarkEnd w:id="648"/>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expenses</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49" w:name="XBRL_CS_53d6336ecb234c25bacc83c1406ab503"/>
            <w:bookmarkEnd w:id="649"/>
            <w:bookmarkStart w:id="650" w:name="53d6336ecb234c25bacc83c1406ab503"/>
            <w:r>
              <w:rPr>
                <w:rFonts w:ascii="Arial" w:eastAsia="Arial" w:hAnsi="Arial" w:cs="Arial"/>
                <w:b/>
                <w:i w:val="0"/>
                <w:strike w:val="0"/>
                <w:color w:val="000000"/>
                <w:sz w:val="13"/>
                <w:u w:val="none"/>
                <w:vertAlign w:val="baseline"/>
              </w:rPr>
              <w:t>-14</w:t>
            </w:r>
            <w:bookmarkStart w:id="651" w:name="XBRL_CE_53d6336ecb234c25bacc83c1406ab503"/>
            <w:bookmarkEnd w:id="650"/>
            <w:bookmarkEnd w:id="651"/>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52" w:name="XBRL_CS_bcac003d07de4783aac3908bb12d3984"/>
            <w:bookmarkEnd w:id="652"/>
            <w:bookmarkStart w:id="653" w:name="bcac003d07de4783aac3908bb12d3984"/>
            <w:r>
              <w:rPr>
                <w:rFonts w:ascii="Arial" w:eastAsia="Arial" w:hAnsi="Arial" w:cs="Arial"/>
                <w:b w:val="0"/>
                <w:i w:val="0"/>
                <w:strike w:val="0"/>
                <w:color w:val="000000"/>
                <w:sz w:val="13"/>
                <w:u w:val="none"/>
                <w:vertAlign w:val="baseline"/>
              </w:rPr>
              <w:t>-13</w:t>
            </w:r>
            <w:bookmarkStart w:id="654" w:name="XBRL_CE_bcac003d07de4783aac3908bb12d3984"/>
            <w:bookmarkEnd w:id="653"/>
            <w:bookmarkEnd w:id="654"/>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income and expenses</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55" w:name="XBRL_CS_c94130f44174484dbb15e79951b99bf9"/>
            <w:bookmarkEnd w:id="655"/>
            <w:bookmarkStart w:id="656" w:name="c94130f44174484dbb15e79951b99bf9"/>
            <w:r>
              <w:rPr>
                <w:rFonts w:ascii="Arial" w:eastAsia="Arial" w:hAnsi="Arial" w:cs="Arial"/>
                <w:b/>
                <w:i w:val="0"/>
                <w:strike w:val="0"/>
                <w:color w:val="000000"/>
                <w:sz w:val="13"/>
                <w:u w:val="none"/>
                <w:vertAlign w:val="baseline"/>
              </w:rPr>
              <w:t>-19</w:t>
            </w:r>
            <w:bookmarkStart w:id="657" w:name="XBRL_CE_c94130f44174484dbb15e79951b99bf9"/>
            <w:bookmarkEnd w:id="656"/>
            <w:bookmarkEnd w:id="657"/>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58" w:name="XBRL_CS_95fc953887c743c0a29830166186e383"/>
            <w:bookmarkEnd w:id="658"/>
            <w:bookmarkStart w:id="659" w:name="95fc953887c743c0a29830166186e383"/>
            <w:r>
              <w:rPr>
                <w:rFonts w:ascii="Arial" w:eastAsia="Arial" w:hAnsi="Arial" w:cs="Arial"/>
                <w:b w:val="0"/>
                <w:i w:val="0"/>
                <w:strike w:val="0"/>
                <w:color w:val="000000"/>
                <w:sz w:val="13"/>
                <w:u w:val="none"/>
                <w:vertAlign w:val="baseline"/>
              </w:rPr>
              <w:t>-27</w:t>
            </w:r>
            <w:bookmarkStart w:id="660" w:name="XBRL_CE_95fc953887c743c0a29830166186e383"/>
            <w:bookmarkEnd w:id="659"/>
            <w:bookmarkEnd w:id="660"/>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taxes paid</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61" w:name="XBRL_CS_010fab4e5e3946e581d0de4722f9bb0e"/>
            <w:bookmarkEnd w:id="661"/>
            <w:bookmarkStart w:id="662" w:name="010fab4e5e3946e581d0de4722f9bb0e"/>
            <w:r>
              <w:rPr>
                <w:rFonts w:ascii="Arial" w:eastAsia="Arial" w:hAnsi="Arial" w:cs="Arial"/>
                <w:b/>
                <w:i w:val="0"/>
                <w:strike w:val="0"/>
                <w:color w:val="000000"/>
                <w:sz w:val="13"/>
                <w:u w:val="none"/>
                <w:vertAlign w:val="baseline"/>
              </w:rPr>
              <w:t>-122</w:t>
            </w:r>
            <w:bookmarkStart w:id="663" w:name="XBRL_CE_010fab4e5e3946e581d0de4722f9bb0e"/>
            <w:bookmarkEnd w:id="662"/>
            <w:bookmarkEnd w:id="663"/>
          </w:p>
        </w:tc>
        <w:tc>
          <w:tcPr>
            <w:tcW w:w="120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64" w:name="XBRL_CS_c5d127ee97b7456c9c34ca54e47a7f84"/>
            <w:bookmarkEnd w:id="664"/>
            <w:bookmarkStart w:id="665" w:name="c5d127ee97b7456c9c34ca54e47a7f84"/>
            <w:r>
              <w:rPr>
                <w:rFonts w:ascii="Arial" w:eastAsia="Arial" w:hAnsi="Arial" w:cs="Arial"/>
                <w:b w:val="0"/>
                <w:i w:val="0"/>
                <w:strike w:val="0"/>
                <w:color w:val="000000"/>
                <w:sz w:val="13"/>
                <w:u w:val="none"/>
                <w:vertAlign w:val="baseline"/>
              </w:rPr>
              <w:t>-141</w:t>
            </w:r>
            <w:bookmarkStart w:id="666" w:name="XBRL_CE_c5d127ee97b7456c9c34ca54e47a7f84"/>
            <w:bookmarkEnd w:id="665"/>
            <w:bookmarkEnd w:id="666"/>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Financial items and paid taxes</w:t>
            </w:r>
          </w:p>
        </w:tc>
        <w:tc>
          <w:tcPr>
            <w:tcW w:w="1200"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67" w:name="XBRL_CS_7827834fb4a54cb1beacbcee0619805a"/>
            <w:bookmarkEnd w:id="667"/>
            <w:bookmarkStart w:id="668" w:name="7827834fb4a54cb1beacbcee0619805a"/>
            <w:r>
              <w:rPr>
                <w:rFonts w:ascii="Arial" w:eastAsia="Arial" w:hAnsi="Arial" w:cs="Arial"/>
                <w:b/>
                <w:i w:val="0"/>
                <w:strike w:val="0"/>
                <w:color w:val="000000"/>
                <w:sz w:val="13"/>
                <w:u w:val="none"/>
                <w:vertAlign w:val="baseline"/>
              </w:rPr>
              <w:t>-150</w:t>
            </w:r>
            <w:bookmarkStart w:id="669" w:name="XBRL_CE_7827834fb4a54cb1beacbcee0619805a"/>
            <w:bookmarkEnd w:id="668"/>
            <w:bookmarkEnd w:id="669"/>
          </w:p>
        </w:tc>
        <w:tc>
          <w:tcPr>
            <w:tcW w:w="120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70" w:name="XBRL_CS_fdfb6481931a48d1ba3212e3785d2b41"/>
            <w:bookmarkEnd w:id="670"/>
            <w:bookmarkStart w:id="671" w:name="fdfb6481931a48d1ba3212e3785d2b41"/>
            <w:r>
              <w:rPr>
                <w:rFonts w:ascii="Arial" w:eastAsia="Arial" w:hAnsi="Arial" w:cs="Arial"/>
                <w:b w:val="0"/>
                <w:i w:val="0"/>
                <w:strike w:val="0"/>
                <w:color w:val="000000"/>
                <w:sz w:val="13"/>
                <w:u w:val="none"/>
                <w:vertAlign w:val="baseline"/>
              </w:rPr>
              <w:t>-178</w:t>
            </w:r>
            <w:bookmarkStart w:id="672" w:name="XBRL_CE_fdfb6481931a48d1ba3212e3785d2b41"/>
            <w:bookmarkEnd w:id="671"/>
            <w:bookmarkEnd w:id="672"/>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operating activities</w:t>
            </w:r>
          </w:p>
        </w:tc>
        <w:tc>
          <w:tcPr>
            <w:tcW w:w="120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73" w:name="XBRL_CS_21b7145edf524412809efb42034aab72"/>
            <w:bookmarkEnd w:id="673"/>
            <w:bookmarkStart w:id="674" w:name="21b7145edf524412809efb42034aab72"/>
            <w:r>
              <w:rPr>
                <w:rFonts w:ascii="Arial" w:eastAsia="Arial" w:hAnsi="Arial" w:cs="Arial"/>
                <w:b/>
                <w:i w:val="0"/>
                <w:strike w:val="0"/>
                <w:color w:val="000000"/>
                <w:sz w:val="13"/>
                <w:u w:val="none"/>
                <w:vertAlign w:val="baseline"/>
              </w:rPr>
              <w:t>681</w:t>
            </w:r>
            <w:bookmarkStart w:id="675" w:name="XBRL_CE_21b7145edf524412809efb42034aab72"/>
            <w:bookmarkEnd w:id="674"/>
            <w:bookmarkEnd w:id="675"/>
          </w:p>
        </w:tc>
        <w:tc>
          <w:tcPr>
            <w:tcW w:w="120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76" w:name="XBRL_CS_7f2028d2ed3f4dd193b5caedbaf1e59d"/>
            <w:bookmarkEnd w:id="676"/>
            <w:bookmarkStart w:id="677" w:name="7f2028d2ed3f4dd193b5caedbaf1e59d"/>
            <w:r>
              <w:rPr>
                <w:rFonts w:ascii="Arial" w:eastAsia="Arial" w:hAnsi="Arial" w:cs="Arial"/>
                <w:b w:val="0"/>
                <w:i w:val="0"/>
                <w:strike w:val="0"/>
                <w:color w:val="000000"/>
                <w:sz w:val="13"/>
                <w:u w:val="none"/>
                <w:vertAlign w:val="baseline"/>
              </w:rPr>
              <w:t>232</w:t>
            </w:r>
            <w:bookmarkStart w:id="678" w:name="XBRL_CE_7f2028d2ed3f4dd193b5caedbaf1e59d"/>
            <w:bookmarkEnd w:id="677"/>
            <w:bookmarkEnd w:id="678"/>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investing activities:</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Acquisitions</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79" w:name="XBRL_CS_e37eb51fc64e4d6da9c2bcca80e24736"/>
            <w:bookmarkEnd w:id="679"/>
            <w:bookmarkStart w:id="680" w:name="e37eb51fc64e4d6da9c2bcca80e24736"/>
            <w:r>
              <w:rPr>
                <w:rFonts w:ascii="Arial" w:eastAsia="Arial" w:hAnsi="Arial" w:cs="Arial"/>
                <w:b/>
                <w:i w:val="0"/>
                <w:strike w:val="0"/>
                <w:color w:val="000000"/>
                <w:sz w:val="13"/>
                <w:u w:val="none"/>
                <w:vertAlign w:val="baseline"/>
              </w:rPr>
              <w:t>-1</w:t>
            </w:r>
            <w:bookmarkStart w:id="681" w:name="XBRL_CE_e37eb51fc64e4d6da9c2bcca80e24736"/>
            <w:bookmarkEnd w:id="680"/>
            <w:bookmarkEnd w:id="681"/>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82" w:name="XBRL_CS_9d4b59ad3d2e453dab143e4c9c203348"/>
            <w:bookmarkEnd w:id="682"/>
            <w:bookmarkStart w:id="683" w:name="9d4b59ad3d2e453dab143e4c9c203348"/>
            <w:r>
              <w:rPr>
                <w:rFonts w:ascii="Arial" w:eastAsia="Arial" w:hAnsi="Arial" w:cs="Arial"/>
                <w:b w:val="0"/>
                <w:i w:val="0"/>
                <w:strike w:val="0"/>
                <w:color w:val="000000"/>
                <w:sz w:val="13"/>
                <w:u w:val="none"/>
                <w:vertAlign w:val="baseline"/>
              </w:rPr>
              <w:t>-4</w:t>
            </w:r>
            <w:bookmarkStart w:id="684" w:name="XBRL_CE_9d4b59ad3d2e453dab143e4c9c203348"/>
            <w:bookmarkEnd w:id="683"/>
            <w:bookmarkEnd w:id="684"/>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6.1.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investments</w:t>
            </w:r>
          </w:p>
        </w:tc>
        <w:tc>
          <w:tcPr>
            <w:tcW w:w="1200" w:type="dxa"/>
            <w:tcBorders>
              <w:top w:val="nil"/>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85" w:name="XBRL_CS_fc975c3216ef442397c6000bab65e8f1"/>
            <w:bookmarkEnd w:id="685"/>
            <w:bookmarkStart w:id="686" w:name="fc975c3216ef442397c6000bab65e8f1"/>
            <w:r>
              <w:rPr>
                <w:rFonts w:ascii="Arial" w:eastAsia="Arial" w:hAnsi="Arial" w:cs="Arial"/>
                <w:b/>
                <w:i w:val="0"/>
                <w:strike w:val="0"/>
                <w:color w:val="000000"/>
                <w:sz w:val="13"/>
                <w:u w:val="none"/>
                <w:vertAlign w:val="baseline"/>
              </w:rPr>
              <w:t>-1</w:t>
            </w:r>
            <w:bookmarkStart w:id="687" w:name="XBRL_CE_fc975c3216ef442397c6000bab65e8f1"/>
            <w:bookmarkEnd w:id="686"/>
            <w:bookmarkEnd w:id="687"/>
          </w:p>
        </w:tc>
        <w:tc>
          <w:tcPr>
            <w:tcW w:w="1200"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88" w:name="XBRL_CS_7a196b4751e7496a952db1ee226119ec"/>
            <w:bookmarkEnd w:id="688"/>
            <w:bookmarkStart w:id="689" w:name="7a196b4751e7496a952db1ee226119ec"/>
            <w:r>
              <w:rPr>
                <w:rFonts w:ascii="Arial" w:eastAsia="Arial" w:hAnsi="Arial" w:cs="Arial"/>
                <w:b w:val="0"/>
                <w:i w:val="0"/>
                <w:strike w:val="0"/>
                <w:color w:val="000000"/>
                <w:sz w:val="13"/>
                <w:u w:val="none"/>
                <w:vertAlign w:val="baseline"/>
              </w:rPr>
              <w:t>-2</w:t>
            </w:r>
            <w:bookmarkStart w:id="690" w:name="XBRL_CE_7a196b4751e7496a952db1ee226119ec"/>
            <w:bookmarkEnd w:id="689"/>
            <w:bookmarkEnd w:id="690"/>
          </w:p>
        </w:tc>
        <w:tc>
          <w:tcPr>
            <w:tcW w:w="108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5.2.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Investments in property, plant and equipment and intangible assets</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91" w:name="XBRL_CS_ee55be94d82245ba909779afac00c028"/>
            <w:bookmarkEnd w:id="691"/>
            <w:bookmarkStart w:id="692" w:name="ee55be94d82245ba909779afac00c028"/>
            <w:r>
              <w:rPr>
                <w:rFonts w:ascii="Arial" w:eastAsia="Arial" w:hAnsi="Arial" w:cs="Arial"/>
                <w:b/>
                <w:i w:val="0"/>
                <w:strike w:val="0"/>
                <w:color w:val="000000"/>
                <w:sz w:val="13"/>
                <w:u w:val="none"/>
                <w:vertAlign w:val="baseline"/>
              </w:rPr>
              <w:t>-115</w:t>
            </w:r>
            <w:bookmarkStart w:id="693" w:name="XBRL_CE_ee55be94d82245ba909779afac00c028"/>
            <w:bookmarkEnd w:id="692"/>
            <w:bookmarkEnd w:id="693"/>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694" w:name="XBRL_CS_7c0e49a8150b4e429cedbc2f55430c1e"/>
            <w:bookmarkEnd w:id="694"/>
            <w:bookmarkStart w:id="695" w:name="7c0e49a8150b4e429cedbc2f55430c1e"/>
            <w:r>
              <w:rPr>
                <w:rFonts w:ascii="Arial" w:eastAsia="Arial" w:hAnsi="Arial" w:cs="Arial"/>
                <w:b w:val="0"/>
                <w:i w:val="0"/>
                <w:strike w:val="0"/>
                <w:color w:val="000000"/>
                <w:sz w:val="13"/>
                <w:u w:val="none"/>
                <w:vertAlign w:val="baseline"/>
              </w:rPr>
              <w:t>-116</w:t>
            </w:r>
            <w:bookmarkStart w:id="696" w:name="XBRL_CE_7c0e49a8150b4e429cedbc2f55430c1e"/>
            <w:bookmarkEnd w:id="695"/>
            <w:bookmarkEnd w:id="696"/>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3.2., 3.3.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Proceeds from sale of property, plant and equipment and intangible assets</w:t>
            </w:r>
          </w:p>
        </w:tc>
        <w:tc>
          <w:tcPr>
            <w:tcW w:w="1200" w:type="dxa"/>
            <w:tcBorders>
              <w:top w:val="nil"/>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697" w:name="XBRL_CS_b6bf413db6164d0894b701ff5fc50ef8"/>
            <w:bookmarkEnd w:id="697"/>
            <w:bookmarkStart w:id="698" w:name="b6bf413db6164d0894b701ff5fc50ef8"/>
            <w:r>
              <w:rPr>
                <w:rFonts w:ascii="Arial" w:eastAsia="Arial" w:hAnsi="Arial" w:cs="Arial"/>
                <w:b/>
                <w:i w:val="0"/>
                <w:strike w:val="0"/>
                <w:color w:val="000000"/>
                <w:sz w:val="13"/>
                <w:u w:val="none"/>
                <w:vertAlign w:val="baseline"/>
              </w:rPr>
              <w:t>13</w:t>
            </w:r>
            <w:bookmarkStart w:id="699" w:name="XBRL_CE_b6bf413db6164d0894b701ff5fc50ef8"/>
            <w:bookmarkEnd w:id="698"/>
            <w:bookmarkEnd w:id="699"/>
          </w:p>
        </w:tc>
        <w:tc>
          <w:tcPr>
            <w:tcW w:w="1200"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00" w:name="XBRL_CS_df08af39cf984ef3a7f9e148b3d34b71"/>
            <w:bookmarkEnd w:id="700"/>
            <w:bookmarkStart w:id="701" w:name="df08af39cf984ef3a7f9e148b3d34b71"/>
            <w:r>
              <w:rPr>
                <w:rFonts w:ascii="Arial" w:eastAsia="Arial" w:hAnsi="Arial" w:cs="Arial"/>
                <w:b w:val="0"/>
                <w:i w:val="0"/>
                <w:strike w:val="0"/>
                <w:color w:val="000000"/>
                <w:sz w:val="13"/>
                <w:u w:val="none"/>
                <w:vertAlign w:val="baseline"/>
              </w:rPr>
              <w:t>25</w:t>
            </w:r>
            <w:bookmarkStart w:id="702" w:name="XBRL_CE_df08af39cf984ef3a7f9e148b3d34b71"/>
            <w:bookmarkEnd w:id="701"/>
            <w:bookmarkEnd w:id="702"/>
          </w:p>
        </w:tc>
        <w:tc>
          <w:tcPr>
            <w:tcW w:w="108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3.2., 3.3.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Proceeds from sale of shares in subsidiaries</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03" w:name="XBRL_CS_358877dee2be48518dd454d7008df8c9"/>
            <w:bookmarkEnd w:id="703"/>
            <w:bookmarkStart w:id="704" w:name="358877dee2be48518dd454d7008df8c9"/>
            <w:r>
              <w:rPr>
                <w:rFonts w:ascii="Arial" w:eastAsia="Arial" w:hAnsi="Arial" w:cs="Arial"/>
                <w:b/>
                <w:i w:val="0"/>
                <w:strike w:val="0"/>
                <w:color w:val="000000"/>
                <w:sz w:val="13"/>
                <w:u w:val="none"/>
                <w:vertAlign w:val="baseline"/>
              </w:rPr>
              <w:t>22</w:t>
            </w:r>
            <w:bookmarkStart w:id="705" w:name="XBRL_CE_358877dee2be48518dd454d7008df8c9"/>
            <w:bookmarkEnd w:id="704"/>
            <w:bookmarkEnd w:id="705"/>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06" w:name="XBRL_CS_a216527084d94393ae80a3eb6b331113"/>
            <w:bookmarkEnd w:id="706"/>
            <w:bookmarkStart w:id="707" w:name="a216527084d94393ae80a3eb6b331113"/>
            <w:r>
              <w:rPr>
                <w:rFonts w:ascii="Arial" w:eastAsia="Arial" w:hAnsi="Arial" w:cs="Arial"/>
                <w:b w:val="0"/>
                <w:i w:val="0"/>
                <w:strike w:val="0"/>
                <w:color w:val="000000"/>
                <w:sz w:val="13"/>
                <w:u w:val="none"/>
                <w:vertAlign w:val="baseline"/>
              </w:rPr>
              <w:t>1</w:t>
            </w:r>
            <w:bookmarkStart w:id="708" w:name="XBRL_CE_a216527084d94393ae80a3eb6b331113"/>
            <w:bookmarkEnd w:id="707"/>
            <w:bookmarkEnd w:id="708"/>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6.2.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Proceeds from sale of shares in associates and joint ventures</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09" w:name="XBRL_CS_3d65e25634bc49789ad98cefd1a51eaf"/>
            <w:bookmarkEnd w:id="709"/>
            <w:bookmarkStart w:id="710" w:name="3d65e25634bc49789ad98cefd1a51eaf"/>
            <w:r>
              <w:rPr>
                <w:rFonts w:ascii="Arial" w:eastAsia="Arial" w:hAnsi="Arial" w:cs="Arial"/>
                <w:b/>
                <w:i w:val="0"/>
                <w:strike w:val="0"/>
                <w:color w:val="000000"/>
                <w:sz w:val="13"/>
                <w:u w:val="none"/>
                <w:vertAlign w:val="baseline"/>
              </w:rPr>
              <w:t>27</w:t>
            </w:r>
            <w:bookmarkStart w:id="711" w:name="XBRL_CE_3d65e25634bc49789ad98cefd1a51eaf"/>
            <w:bookmarkEnd w:id="710"/>
            <w:bookmarkEnd w:id="711"/>
          </w:p>
        </w:tc>
        <w:tc>
          <w:tcPr>
            <w:tcW w:w="120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6.4.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investing activities</w:t>
            </w:r>
          </w:p>
        </w:tc>
        <w:tc>
          <w:tcPr>
            <w:tcW w:w="120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12" w:name="XBRL_CS_54d1f5a7131d4b9b9becf3b785fd9b90"/>
            <w:bookmarkEnd w:id="712"/>
            <w:bookmarkStart w:id="713" w:name="54d1f5a7131d4b9b9becf3b785fd9b90"/>
            <w:r>
              <w:rPr>
                <w:rFonts w:ascii="Arial" w:eastAsia="Arial" w:hAnsi="Arial" w:cs="Arial"/>
                <w:b/>
                <w:i w:val="0"/>
                <w:strike w:val="0"/>
                <w:color w:val="000000"/>
                <w:sz w:val="13"/>
                <w:u w:val="none"/>
                <w:vertAlign w:val="baseline"/>
              </w:rPr>
              <w:t>-55</w:t>
            </w:r>
            <w:bookmarkStart w:id="714" w:name="XBRL_CE_54d1f5a7131d4b9b9becf3b785fd9b90"/>
            <w:bookmarkEnd w:id="713"/>
            <w:bookmarkEnd w:id="714"/>
          </w:p>
        </w:tc>
        <w:tc>
          <w:tcPr>
            <w:tcW w:w="120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15" w:name="XBRL_CS_e0b1a5e5b1ab4a5d922cc65e34e2e2e0"/>
            <w:bookmarkEnd w:id="715"/>
            <w:bookmarkStart w:id="716" w:name="e0b1a5e5b1ab4a5d922cc65e34e2e2e0"/>
            <w:r>
              <w:rPr>
                <w:rFonts w:ascii="Arial" w:eastAsia="Arial" w:hAnsi="Arial" w:cs="Arial"/>
                <w:b w:val="0"/>
                <w:i w:val="0"/>
                <w:strike w:val="0"/>
                <w:color w:val="000000"/>
                <w:sz w:val="13"/>
                <w:u w:val="none"/>
                <w:vertAlign w:val="baseline"/>
              </w:rPr>
              <w:t>-95</w:t>
            </w:r>
            <w:bookmarkStart w:id="717" w:name="XBRL_CE_e0b1a5e5b1ab4a5d922cc65e34e2e2e0"/>
            <w:bookmarkEnd w:id="716"/>
            <w:bookmarkEnd w:id="717"/>
          </w:p>
        </w:tc>
        <w:tc>
          <w:tcPr>
            <w:tcW w:w="108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after investing activities</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18" w:name="XBRL_CS_8efe89add87e4aff9ed4cac6caf476f3"/>
            <w:bookmarkEnd w:id="718"/>
            <w:bookmarkStart w:id="719" w:name="8efe89add87e4aff9ed4cac6caf476f3"/>
            <w:r>
              <w:rPr>
                <w:rFonts w:ascii="Arial" w:eastAsia="Arial" w:hAnsi="Arial" w:cs="Arial"/>
                <w:b/>
                <w:i w:val="0"/>
                <w:strike w:val="0"/>
                <w:color w:val="000000"/>
                <w:sz w:val="13"/>
                <w:u w:val="none"/>
                <w:vertAlign w:val="baseline"/>
              </w:rPr>
              <w:t>627</w:t>
            </w:r>
            <w:bookmarkStart w:id="720" w:name="XBRL_CE_8efe89add87e4aff9ed4cac6caf476f3"/>
            <w:bookmarkEnd w:id="719"/>
            <w:bookmarkEnd w:id="720"/>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21" w:name="XBRL_CS_d47ef0fd764f458e89545a29b0f4e506"/>
            <w:bookmarkEnd w:id="721"/>
            <w:bookmarkStart w:id="722" w:name="d47ef0fd764f458e89545a29b0f4e506"/>
            <w:bookmarkStart w:id="723" w:name="XBRL_CS_5835d63afddb4ba69896834dd2bda9ed"/>
            <w:bookmarkEnd w:id="723"/>
            <w:bookmarkStart w:id="724" w:name="5835d63afddb4ba69896834dd2bda9ed"/>
            <w:r>
              <w:rPr>
                <w:rFonts w:ascii="Arial" w:eastAsia="Arial" w:hAnsi="Arial" w:cs="Arial"/>
                <w:b w:val="0"/>
                <w:i w:val="0"/>
                <w:strike w:val="0"/>
                <w:color w:val="000000"/>
                <w:sz w:val="13"/>
                <w:u w:val="none"/>
                <w:vertAlign w:val="baseline"/>
              </w:rPr>
              <w:t>137</w:t>
            </w:r>
            <w:bookmarkStart w:id="725" w:name="XBRL_CE_5835d63afddb4ba69896834dd2bda9ed"/>
            <w:bookmarkEnd w:id="724"/>
            <w:bookmarkEnd w:id="725"/>
            <w:bookmarkStart w:id="726" w:name="XBRL_CE_d47ef0fd764f458e89545a29b0f4e506"/>
            <w:bookmarkEnd w:id="722"/>
            <w:bookmarkEnd w:id="726"/>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financing activities:</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Proceeds from non-current debt</w:t>
            </w:r>
          </w:p>
        </w:tc>
        <w:tc>
          <w:tcPr>
            <w:tcW w:w="1200" w:type="dxa"/>
            <w:tcBorders>
              <w:top w:val="nil"/>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27" w:name="XBRL_CS_20b7511e09794e2cac3e6f398d70c9af"/>
            <w:bookmarkEnd w:id="727"/>
            <w:bookmarkStart w:id="728" w:name="20b7511e09794e2cac3e6f398d70c9af"/>
            <w:r>
              <w:rPr>
                <w:rFonts w:ascii="Arial" w:eastAsia="Arial" w:hAnsi="Arial" w:cs="Arial"/>
                <w:b/>
                <w:i w:val="0"/>
                <w:strike w:val="0"/>
                <w:color w:val="000000"/>
                <w:sz w:val="13"/>
                <w:u w:val="none"/>
                <w:vertAlign w:val="baseline"/>
              </w:rPr>
              <w:t>317</w:t>
            </w:r>
            <w:bookmarkStart w:id="729" w:name="XBRL_CE_20b7511e09794e2cac3e6f398d70c9af"/>
            <w:bookmarkEnd w:id="728"/>
            <w:bookmarkEnd w:id="729"/>
          </w:p>
        </w:tc>
        <w:tc>
          <w:tcPr>
            <w:tcW w:w="1200"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30" w:name="XBRL_CS_248ff79d3d0246b893cd19a4a7e44ae7"/>
            <w:bookmarkEnd w:id="730"/>
            <w:bookmarkStart w:id="731" w:name="248ff79d3d0246b893cd19a4a7e44ae7"/>
            <w:r>
              <w:rPr>
                <w:rFonts w:ascii="Arial" w:eastAsia="Arial" w:hAnsi="Arial" w:cs="Arial"/>
                <w:b w:val="0"/>
                <w:i w:val="0"/>
                <w:strike w:val="0"/>
                <w:color w:val="000000"/>
                <w:sz w:val="13"/>
                <w:u w:val="none"/>
                <w:vertAlign w:val="baseline"/>
              </w:rPr>
              <w:t>150</w:t>
            </w:r>
            <w:bookmarkStart w:id="732" w:name="XBRL_CE_248ff79d3d0246b893cd19a4a7e44ae7"/>
            <w:bookmarkEnd w:id="731"/>
            <w:bookmarkEnd w:id="732"/>
          </w:p>
        </w:tc>
        <w:tc>
          <w:tcPr>
            <w:tcW w:w="1080"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Repayments and other changes in non-current debt</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33" w:name="XBRL_CS_c52fe0d0e62e4bada36282b0ff7e0c0e"/>
            <w:bookmarkEnd w:id="733"/>
            <w:bookmarkStart w:id="734" w:name="c52fe0d0e62e4bada36282b0ff7e0c0e"/>
            <w:r>
              <w:rPr>
                <w:rFonts w:ascii="Arial" w:eastAsia="Arial" w:hAnsi="Arial" w:cs="Arial"/>
                <w:b/>
                <w:i w:val="0"/>
                <w:strike w:val="0"/>
                <w:color w:val="000000"/>
                <w:sz w:val="13"/>
                <w:u w:val="none"/>
                <w:vertAlign w:val="baseline"/>
              </w:rPr>
              <w:t>-76</w:t>
            </w:r>
            <w:bookmarkStart w:id="735" w:name="XBRL_CE_c52fe0d0e62e4bada36282b0ff7e0c0e"/>
            <w:bookmarkEnd w:id="734"/>
            <w:bookmarkEnd w:id="735"/>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36" w:name="XBRL_CS_0689f267cc5d4775bb94821e1820563d"/>
            <w:bookmarkEnd w:id="736"/>
            <w:bookmarkStart w:id="737" w:name="0689f267cc5d4775bb94821e1820563d"/>
            <w:r>
              <w:rPr>
                <w:rFonts w:ascii="Arial" w:eastAsia="Arial" w:hAnsi="Arial" w:cs="Arial"/>
                <w:b w:val="0"/>
                <w:i w:val="0"/>
                <w:strike w:val="0"/>
                <w:color w:val="000000"/>
                <w:sz w:val="13"/>
                <w:u w:val="none"/>
                <w:vertAlign w:val="baseline"/>
              </w:rPr>
              <w:t>-105</w:t>
            </w:r>
            <w:bookmarkStart w:id="738" w:name="XBRL_CE_0689f267cc5d4775bb94821e1820563d"/>
            <w:bookmarkEnd w:id="737"/>
            <w:bookmarkEnd w:id="738"/>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E56D0A"/>
                <w:sz w:val="13"/>
                <w:u w:val="none"/>
                <w:vertAlign w:val="baseline"/>
              </w:rPr>
            </w:pPr>
            <w:r>
              <w:rPr>
                <w:rFonts w:ascii="Arial" w:eastAsia="Arial" w:hAnsi="Arial" w:cs="Arial"/>
                <w:b w:val="0"/>
                <w:i w:val="0"/>
                <w:strike w:val="0"/>
                <w:color w:val="E56D0A"/>
                <w:sz w:val="13"/>
                <w:u w:val="none"/>
                <w:vertAlign w:val="baseline"/>
              </w:rPr>
              <w:t>5.6.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 receivables, increase (-) / decrease (+)</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39" w:name="XBRL_CS_546b38c1f3a44fc8af13581cfc3d2e83"/>
            <w:bookmarkEnd w:id="739"/>
            <w:bookmarkStart w:id="740" w:name="546b38c1f3a44fc8af13581cfc3d2e83"/>
            <w:r>
              <w:rPr>
                <w:rFonts w:ascii="Arial" w:eastAsia="Arial" w:hAnsi="Arial" w:cs="Arial"/>
                <w:b/>
                <w:i w:val="0"/>
                <w:strike w:val="0"/>
                <w:color w:val="000000"/>
                <w:sz w:val="13"/>
                <w:u w:val="none"/>
                <w:vertAlign w:val="baseline"/>
              </w:rPr>
              <w:t>1</w:t>
            </w:r>
            <w:bookmarkStart w:id="741" w:name="XBRL_CE_546b38c1f3a44fc8af13581cfc3d2e83"/>
            <w:bookmarkEnd w:id="740"/>
            <w:bookmarkEnd w:id="741"/>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42" w:name="XBRL_CS_4574cea57ca644e3bb559dd3d5bb7216"/>
            <w:bookmarkEnd w:id="742"/>
            <w:bookmarkStart w:id="743" w:name="4574cea57ca644e3bb559dd3d5bb7216"/>
            <w:r>
              <w:rPr>
                <w:rFonts w:ascii="Arial" w:eastAsia="Arial" w:hAnsi="Arial" w:cs="Arial"/>
                <w:b w:val="0"/>
                <w:i w:val="0"/>
                <w:strike w:val="0"/>
                <w:color w:val="000000"/>
                <w:sz w:val="13"/>
                <w:u w:val="none"/>
                <w:vertAlign w:val="baseline"/>
              </w:rPr>
              <w:t>2</w:t>
            </w:r>
            <w:bookmarkStart w:id="744" w:name="XBRL_CE_4574cea57ca644e3bb559dd3d5bb7216"/>
            <w:bookmarkEnd w:id="743"/>
            <w:bookmarkEnd w:id="744"/>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 loans, increase (+) / decrease (-)</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45" w:name="XBRL_CS_dcfc4541c78442b28243da885b9f2908"/>
            <w:bookmarkEnd w:id="745"/>
            <w:bookmarkStart w:id="746" w:name="dcfc4541c78442b28243da885b9f2908"/>
            <w:r>
              <w:rPr>
                <w:rFonts w:ascii="Arial" w:eastAsia="Arial" w:hAnsi="Arial" w:cs="Arial"/>
                <w:b w:val="0"/>
                <w:i w:val="0"/>
                <w:strike w:val="0"/>
                <w:color w:val="000000"/>
                <w:sz w:val="13"/>
                <w:u w:val="none"/>
                <w:vertAlign w:val="baseline"/>
              </w:rPr>
              <w:t>-18</w:t>
            </w:r>
            <w:bookmarkStart w:id="747" w:name="XBRL_CE_dcfc4541c78442b28243da885b9f2908"/>
            <w:bookmarkEnd w:id="746"/>
            <w:bookmarkEnd w:id="747"/>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Dividends paid</w:t>
            </w:r>
          </w:p>
        </w:tc>
        <w:tc>
          <w:tcPr>
            <w:tcW w:w="120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48" w:name="XBRL_CS_446eadabad3f4d58973e9753f32b2475"/>
            <w:bookmarkEnd w:id="748"/>
            <w:bookmarkStart w:id="749" w:name="446eadabad3f4d58973e9753f32b2475"/>
            <w:r>
              <w:rPr>
                <w:rFonts w:ascii="Arial" w:eastAsia="Arial" w:hAnsi="Arial" w:cs="Arial"/>
                <w:b/>
                <w:i w:val="0"/>
                <w:strike w:val="0"/>
                <w:color w:val="000000"/>
                <w:sz w:val="13"/>
                <w:u w:val="none"/>
                <w:vertAlign w:val="baseline"/>
              </w:rPr>
              <w:t>-286</w:t>
            </w:r>
            <w:bookmarkStart w:id="750" w:name="XBRL_CE_446eadabad3f4d58973e9753f32b2475"/>
            <w:bookmarkEnd w:id="749"/>
            <w:bookmarkEnd w:id="750"/>
          </w:p>
        </w:tc>
        <w:tc>
          <w:tcPr>
            <w:tcW w:w="120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51" w:name="XBRL_CS_8d98939760ea46df8be96fe444ebef63"/>
            <w:bookmarkEnd w:id="751"/>
            <w:bookmarkStart w:id="752" w:name="8d98939760ea46df8be96fe444ebef63"/>
            <w:r>
              <w:rPr>
                <w:rFonts w:ascii="Arial" w:eastAsia="Arial" w:hAnsi="Arial" w:cs="Arial"/>
                <w:b w:val="0"/>
                <w:i w:val="0"/>
                <w:strike w:val="0"/>
                <w:color w:val="000000"/>
                <w:sz w:val="13"/>
                <w:u w:val="none"/>
                <w:vertAlign w:val="baseline"/>
              </w:rPr>
              <w:t>-284</w:t>
            </w:r>
            <w:bookmarkStart w:id="753" w:name="XBRL_CE_8d98939760ea46df8be96fe444ebef63"/>
            <w:bookmarkEnd w:id="752"/>
            <w:bookmarkEnd w:id="753"/>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8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financing activities</w:t>
            </w:r>
          </w:p>
        </w:tc>
        <w:tc>
          <w:tcPr>
            <w:tcW w:w="120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54" w:name="XBRL_CS_b95c15b6553e4ae4acb26967e0cbef5f"/>
            <w:bookmarkEnd w:id="754"/>
            <w:bookmarkStart w:id="755" w:name="b95c15b6553e4ae4acb26967e0cbef5f"/>
            <w:r>
              <w:rPr>
                <w:rFonts w:ascii="Arial" w:eastAsia="Arial" w:hAnsi="Arial" w:cs="Arial"/>
                <w:b/>
                <w:i w:val="0"/>
                <w:strike w:val="0"/>
                <w:color w:val="000000"/>
                <w:sz w:val="13"/>
                <w:u w:val="none"/>
                <w:vertAlign w:val="baseline"/>
              </w:rPr>
              <w:t>-44</w:t>
            </w:r>
            <w:bookmarkStart w:id="756" w:name="XBRL_CE_b95c15b6553e4ae4acb26967e0cbef5f"/>
            <w:bookmarkEnd w:id="755"/>
            <w:bookmarkEnd w:id="756"/>
          </w:p>
        </w:tc>
        <w:tc>
          <w:tcPr>
            <w:tcW w:w="120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57" w:name="XBRL_CS_168a7342aa1e4069bd22371f40b881f2"/>
            <w:bookmarkEnd w:id="757"/>
            <w:bookmarkStart w:id="758" w:name="168a7342aa1e4069bd22371f40b881f2"/>
            <w:r>
              <w:rPr>
                <w:rFonts w:ascii="Arial" w:eastAsia="Arial" w:hAnsi="Arial" w:cs="Arial"/>
                <w:b w:val="0"/>
                <w:i w:val="0"/>
                <w:strike w:val="0"/>
                <w:color w:val="000000"/>
                <w:sz w:val="13"/>
                <w:u w:val="none"/>
                <w:vertAlign w:val="baseline"/>
              </w:rPr>
              <w:t>-256</w:t>
            </w:r>
            <w:bookmarkStart w:id="759" w:name="XBRL_CE_168a7342aa1e4069bd22371f40b881f2"/>
            <w:bookmarkEnd w:id="758"/>
            <w:bookmarkEnd w:id="759"/>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Change in cash and cash equivalents, increase (+) / decrease (-)</w:t>
            </w:r>
          </w:p>
        </w:tc>
        <w:tc>
          <w:tcPr>
            <w:tcW w:w="120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60" w:name="XBRL_CS_5a0330a20a9941449713e5b55864de94"/>
            <w:bookmarkEnd w:id="760"/>
            <w:bookmarkStart w:id="761" w:name="5a0330a20a9941449713e5b55864de94"/>
            <w:r>
              <w:rPr>
                <w:rFonts w:ascii="Arial" w:eastAsia="Arial" w:hAnsi="Arial" w:cs="Arial"/>
                <w:b/>
                <w:i w:val="0"/>
                <w:strike w:val="0"/>
                <w:color w:val="000000"/>
                <w:sz w:val="13"/>
                <w:u w:val="none"/>
                <w:vertAlign w:val="baseline"/>
              </w:rPr>
              <w:t>582</w:t>
            </w:r>
            <w:bookmarkStart w:id="762" w:name="XBRL_CE_5a0330a20a9941449713e5b55864de94"/>
            <w:bookmarkEnd w:id="761"/>
            <w:bookmarkEnd w:id="762"/>
          </w:p>
        </w:tc>
        <w:tc>
          <w:tcPr>
            <w:tcW w:w="12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63" w:name="XBRL_CS_ec736a117c814874967b22fb8fa0c569"/>
            <w:bookmarkEnd w:id="763"/>
            <w:bookmarkStart w:id="764" w:name="ec736a117c814874967b22fb8fa0c569"/>
            <w:r>
              <w:rPr>
                <w:rFonts w:ascii="Arial" w:eastAsia="Arial" w:hAnsi="Arial" w:cs="Arial"/>
                <w:b w:val="0"/>
                <w:i w:val="0"/>
                <w:strike w:val="0"/>
                <w:color w:val="000000"/>
                <w:sz w:val="13"/>
                <w:u w:val="none"/>
                <w:vertAlign w:val="baseline"/>
              </w:rPr>
              <w:t>-119</w:t>
            </w:r>
            <w:bookmarkStart w:id="765" w:name="XBRL_CE_ec736a117c814874967b22fb8fa0c569"/>
            <w:bookmarkEnd w:id="764"/>
            <w:bookmarkEnd w:id="765"/>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 at the beginning of the financial period*</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66" w:name="XBRL_CS_9ad7158ec5ab4924a1dbc91b94d31c54"/>
            <w:bookmarkEnd w:id="766"/>
            <w:bookmarkStart w:id="767" w:name="9ad7158ec5ab4924a1dbc91b94d31c54"/>
            <w:r>
              <w:rPr>
                <w:rFonts w:ascii="Arial" w:eastAsia="Arial" w:hAnsi="Arial" w:cs="Arial"/>
                <w:b/>
                <w:i w:val="0"/>
                <w:strike w:val="0"/>
                <w:color w:val="000000"/>
                <w:sz w:val="13"/>
                <w:u w:val="none"/>
                <w:vertAlign w:val="baseline"/>
              </w:rPr>
              <w:t>369</w:t>
            </w:r>
            <w:bookmarkStart w:id="768" w:name="XBRL_CE_9ad7158ec5ab4924a1dbc91b94d31c54"/>
            <w:bookmarkEnd w:id="767"/>
            <w:bookmarkEnd w:id="768"/>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69" w:name="XBRL_CS_de156e945c2843009777542cfec74676"/>
            <w:bookmarkEnd w:id="769"/>
            <w:bookmarkStart w:id="770" w:name="de156e945c2843009777542cfec74676"/>
            <w:r>
              <w:rPr>
                <w:rFonts w:ascii="Arial" w:eastAsia="Arial" w:hAnsi="Arial" w:cs="Arial"/>
                <w:b w:val="0"/>
                <w:i w:val="0"/>
                <w:strike w:val="0"/>
                <w:color w:val="000000"/>
                <w:sz w:val="13"/>
                <w:u w:val="none"/>
                <w:vertAlign w:val="baseline"/>
              </w:rPr>
              <w:t>487</w:t>
            </w:r>
            <w:bookmarkStart w:id="771" w:name="XBRL_CE_de156e945c2843009777542cfec74676"/>
            <w:bookmarkEnd w:id="770"/>
            <w:bookmarkEnd w:id="771"/>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Exchange rate changes</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72" w:name="XBRL_CS_6fd739f14025463aa9331c8994ff16b6"/>
            <w:bookmarkEnd w:id="772"/>
            <w:bookmarkStart w:id="773" w:name="6fd739f14025463aa9331c8994ff16b6"/>
            <w:r>
              <w:rPr>
                <w:rFonts w:ascii="Arial" w:eastAsia="Arial" w:hAnsi="Arial" w:cs="Arial"/>
                <w:b/>
                <w:i w:val="0"/>
                <w:strike w:val="0"/>
                <w:color w:val="000000"/>
                <w:sz w:val="13"/>
                <w:u w:val="none"/>
                <w:vertAlign w:val="baseline"/>
              </w:rPr>
              <w:t>-19</w:t>
            </w:r>
            <w:bookmarkStart w:id="774" w:name="XBRL_CE_6fd739f14025463aa9331c8994ff16b6"/>
            <w:bookmarkEnd w:id="773"/>
            <w:bookmarkEnd w:id="774"/>
          </w:p>
        </w:tc>
        <w:tc>
          <w:tcPr>
            <w:tcW w:w="12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 at the end of the financial period*</w:t>
            </w:r>
          </w:p>
        </w:tc>
        <w:tc>
          <w:tcPr>
            <w:tcW w:w="120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775" w:name="XBRL_CS_04a36703ef0840fd914df73501345398"/>
            <w:bookmarkEnd w:id="775"/>
            <w:bookmarkStart w:id="776" w:name="04a36703ef0840fd914df73501345398"/>
            <w:r>
              <w:rPr>
                <w:rFonts w:ascii="Arial" w:eastAsia="Arial" w:hAnsi="Arial" w:cs="Arial"/>
                <w:b/>
                <w:i w:val="0"/>
                <w:strike w:val="0"/>
                <w:color w:val="000000"/>
                <w:sz w:val="13"/>
                <w:u w:val="none"/>
                <w:vertAlign w:val="baseline"/>
              </w:rPr>
              <w:t>932</w:t>
            </w:r>
            <w:bookmarkStart w:id="777" w:name="XBRL_CE_04a36703ef0840fd914df73501345398"/>
            <w:bookmarkEnd w:id="776"/>
            <w:bookmarkEnd w:id="777"/>
          </w:p>
        </w:tc>
        <w:tc>
          <w:tcPr>
            <w:tcW w:w="12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78" w:name="XBRL_CS_57a4c5a1011e4ce1ad96a91e61bc9f79"/>
            <w:bookmarkEnd w:id="778"/>
            <w:bookmarkStart w:id="779" w:name="57a4c5a1011e4ce1ad96a91e61bc9f79"/>
            <w:r>
              <w:rPr>
                <w:rFonts w:ascii="Arial" w:eastAsia="Arial" w:hAnsi="Arial" w:cs="Arial"/>
                <w:b w:val="0"/>
                <w:i w:val="0"/>
                <w:strike w:val="0"/>
                <w:color w:val="000000"/>
                <w:sz w:val="13"/>
                <w:u w:val="none"/>
                <w:vertAlign w:val="baseline"/>
              </w:rPr>
              <w:t>369</w:t>
            </w:r>
            <w:bookmarkStart w:id="780" w:name="XBRL_CE_57a4c5a1011e4ce1ad96a91e61bc9f79"/>
            <w:bookmarkEnd w:id="779"/>
            <w:bookmarkEnd w:id="780"/>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E56D0A"/>
                <w:sz w:val="13"/>
                <w:u w:val="none"/>
                <w:vertAlign w:val="baseline"/>
              </w:rPr>
            </w:pPr>
          </w:p>
        </w:tc>
      </w:tr>
    </w:tbl>
    <w:p w:rsidR="00A31267" w:rsidP="005D1654" w14:paraId="646865A1" w14:textId="77777777">
      <w:pPr>
        <w:pStyle w:val="Bodytext2"/>
      </w:pPr>
      <w:bookmarkStart w:id="781" w:name="RG_MARKER_4498"/>
      <w:bookmarkEnd w:id="781"/>
    </w:p>
    <w:p w:rsidR="005D1654" w:rsidRPr="005D1654" w:rsidP="005D1654" w14:paraId="146B39A9" w14:textId="288A804A">
      <w:pPr>
        <w:pStyle w:val="Bodytext2"/>
      </w:pPr>
      <w:r w:rsidRPr="005D1654">
        <w:t>* Cash and cash equivalents on 31 December 2020 and 31 December 2019 include the cash and cash equivalents pertaining to assets held for sale.</w:t>
      </w:r>
    </w:p>
    <w:p w:rsidR="005D1654" w:rsidRPr="005D1654" w:rsidP="005D1654" w14:paraId="708FD558" w14:textId="77777777">
      <w:pPr>
        <w:pStyle w:val="Bodytext2"/>
      </w:pPr>
    </w:p>
    <w:p w:rsidR="005D1654" w:rsidRPr="00EC5812" w:rsidP="005D1654" w14:textId="77777777">
      <w:pPr>
        <w:pStyle w:val="Bodytext2"/>
        <w:rPr>
          <w:sz w:val="2"/>
          <w:szCs w:val="2"/>
        </w:rPr>
        <w:sectPr w:rsidSect="0096419A">
          <w:headerReference w:type="even" r:id="rId34"/>
          <w:headerReference w:type="default" r:id="rId35"/>
          <w:footerReference w:type="even" r:id="rId36"/>
          <w:footerReference w:type="default" r:id="rId37"/>
          <w:headerReference w:type="first" r:id="rId38"/>
          <w:footerReference w:type="first" r:id="rId39"/>
          <w:type w:val="continuous"/>
          <w:pgSz w:w="16838" w:h="11906" w:orient="landscape"/>
          <w:pgMar w:top="1814" w:right="737" w:bottom="1247" w:left="737" w:header="720" w:footer="720" w:gutter="0"/>
          <w:pgBorders w:zOrder="front" w:display="allPages" w:offsetFrom="text">
            <w:top w:val="nil"/>
            <w:left w:val="nil"/>
            <w:bottom w:val="nil"/>
            <w:right w:val="nil"/>
          </w:pgBorders>
          <w:cols w:num="2" w:space="624"/>
          <w:vAlign w:val="top"/>
          <w:titlePg w:val="0"/>
          <w:rtlGutter w:val="0"/>
          <w:docGrid w:linePitch="360"/>
        </w:sectPr>
      </w:pPr>
      <w:r w:rsidRPr="005D1654">
        <w:t>The notes are an integral part of these consolidated financial statements.</w:t>
      </w:r>
      <w:r>
        <w:br w:type="column"/>
      </w:r>
    </w:p>
    <w:p w:rsidR="00F472E2" w:rsidP="00F472E2" w14:paraId="5C12751E" w14:textId="77777777">
      <w:pPr>
        <w:pStyle w:val="Heading10"/>
      </w:pPr>
      <w:bookmarkStart w:id="786" w:name="RG_MARKER_4200"/>
      <w:r>
        <w:t>CONSOLIDATED STATEMENT OF CHANGES IN</w:t>
      </w:r>
      <w:bookmarkEnd w:id="786"/>
      <w:r>
        <w:t xml:space="preserve"> EQUITY</w:t>
      </w:r>
    </w:p>
    <w:p/>
    <w:tbl>
      <w:tblPr>
        <w:tblStyle w:val="CDMRange1"/>
        <w:tblW w:w="15300" w:type="dxa"/>
        <w:tblLayout w:type="fixed"/>
        <w:tblLook w:val="0600"/>
      </w:tblPr>
      <w:tblGrid>
        <w:gridCol w:w="5850"/>
        <w:gridCol w:w="1050"/>
        <w:gridCol w:w="1050"/>
        <w:gridCol w:w="1050"/>
        <w:gridCol w:w="1050"/>
        <w:gridCol w:w="1050"/>
        <w:gridCol w:w="1050"/>
        <w:gridCol w:w="1050"/>
        <w:gridCol w:w="1050"/>
        <w:gridCol w:w="1050"/>
      </w:tblGrid>
      <w:tr>
        <w:tblPrEx>
          <w:tblW w:w="15300" w:type="dxa"/>
          <w:tblLayout w:type="fixed"/>
          <w:tblLook w:val="0600"/>
        </w:tblPrEx>
        <w:trPr>
          <w:trHeight w:val="240"/>
        </w:trPr>
        <w:tc>
          <w:tcPr>
            <w:tcW w:w="585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350" w:type="dxa"/>
            <w:gridSpan w:val="7"/>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equity attributable to equity holders of the parent company</w:t>
            </w:r>
          </w:p>
        </w:tc>
        <w:tc>
          <w:tcPr>
            <w:tcW w:w="105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controlling</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interests</w:t>
            </w:r>
          </w:p>
        </w:tc>
        <w:tc>
          <w:tcPr>
            <w:tcW w:w="105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Total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w:t>
            </w: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Share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capital</w:t>
            </w:r>
          </w:p>
        </w:tc>
        <w:tc>
          <w:tcPr>
            <w:tcW w:w="10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Share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premium</w:t>
            </w:r>
          </w:p>
        </w:tc>
        <w:tc>
          <w:tcPr>
            <w:tcW w:w="10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Translation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difference</w:t>
            </w:r>
          </w:p>
        </w:tc>
        <w:tc>
          <w:tcPr>
            <w:tcW w:w="10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value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reserve</w:t>
            </w:r>
          </w:p>
        </w:tc>
        <w:tc>
          <w:tcPr>
            <w:tcW w:w="1050" w:type="dxa"/>
            <w:tcBorders>
              <w:top w:val="single" w:sz="8" w:space="0" w:color="0F172B"/>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Remeas-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urements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defined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benefit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10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Retained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earnings</w:t>
            </w:r>
          </w:p>
        </w:tc>
        <w:tc>
          <w:tcPr>
            <w:tcW w:w="10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50" w:type="dxa"/>
            <w:tcBorders>
              <w:top w:val="single" w:sz="8" w:space="0" w:color="0F172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 on 1 January 2019</w:t>
            </w:r>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87" w:name="XBRL_CS_f384813273824d1aa38edcee63094bdf"/>
            <w:bookmarkEnd w:id="787"/>
            <w:bookmarkStart w:id="788" w:name="f384813273824d1aa38edcee63094bdf"/>
            <w:r>
              <w:rPr>
                <w:rFonts w:ascii="Arial" w:eastAsia="Arial" w:hAnsi="Arial" w:cs="Arial"/>
                <w:b w:val="0"/>
                <w:i w:val="0"/>
                <w:strike w:val="0"/>
                <w:color w:val="000000"/>
                <w:sz w:val="13"/>
                <w:u w:val="none"/>
                <w:vertAlign w:val="baseline"/>
              </w:rPr>
              <w:t>336</w:t>
            </w:r>
            <w:bookmarkStart w:id="789" w:name="XBRL_CE_f384813273824d1aa38edcee63094bdf"/>
            <w:bookmarkEnd w:id="788"/>
            <w:bookmarkEnd w:id="789"/>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90" w:name="XBRL_CS_adfb5bac133c4b7aa1c8b2754f0e0926"/>
            <w:bookmarkEnd w:id="790"/>
            <w:bookmarkStart w:id="791" w:name="adfb5bac133c4b7aa1c8b2754f0e0926"/>
            <w:r>
              <w:rPr>
                <w:rFonts w:ascii="Arial" w:eastAsia="Arial" w:hAnsi="Arial" w:cs="Arial"/>
                <w:b w:val="0"/>
                <w:i w:val="0"/>
                <w:strike w:val="0"/>
                <w:color w:val="000000"/>
                <w:sz w:val="13"/>
                <w:u w:val="none"/>
                <w:vertAlign w:val="baseline"/>
              </w:rPr>
              <w:t>61</w:t>
            </w:r>
            <w:bookmarkStart w:id="792" w:name="XBRL_CE_adfb5bac133c4b7aa1c8b2754f0e0926"/>
            <w:bookmarkEnd w:id="791"/>
            <w:bookmarkEnd w:id="792"/>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93" w:name="XBRL_CS_64994878cc4e4f7fa4775c16facb4dee"/>
            <w:bookmarkEnd w:id="793"/>
            <w:bookmarkStart w:id="794" w:name="64994878cc4e4f7fa4775c16facb4dee"/>
            <w:r>
              <w:rPr>
                <w:rFonts w:ascii="Arial" w:eastAsia="Arial" w:hAnsi="Arial" w:cs="Arial"/>
                <w:b w:val="0"/>
                <w:i w:val="0"/>
                <w:strike w:val="0"/>
                <w:color w:val="000000"/>
                <w:sz w:val="13"/>
                <w:u w:val="none"/>
                <w:vertAlign w:val="baseline"/>
              </w:rPr>
              <w:t>-155</w:t>
            </w:r>
            <w:bookmarkStart w:id="795" w:name="XBRL_CE_64994878cc4e4f7fa4775c16facb4dee"/>
            <w:bookmarkEnd w:id="794"/>
            <w:bookmarkEnd w:id="795"/>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96" w:name="XBRL_CS_2326c3dded544a3288839c449b753110"/>
            <w:bookmarkEnd w:id="796"/>
            <w:bookmarkStart w:id="797" w:name="2326c3dded544a3288839c449b753110"/>
            <w:r>
              <w:rPr>
                <w:rFonts w:ascii="Arial" w:eastAsia="Arial" w:hAnsi="Arial" w:cs="Arial"/>
                <w:b w:val="0"/>
                <w:i w:val="0"/>
                <w:strike w:val="0"/>
                <w:color w:val="000000"/>
                <w:sz w:val="13"/>
                <w:u w:val="none"/>
                <w:vertAlign w:val="baseline"/>
              </w:rPr>
              <w:t>-31</w:t>
            </w:r>
            <w:bookmarkStart w:id="798" w:name="XBRL_CE_2326c3dded544a3288839c449b753110"/>
            <w:bookmarkEnd w:id="797"/>
            <w:bookmarkEnd w:id="798"/>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799" w:name="XBRL_CS_5330e78fb1bf4ba1a021f3364fc03828"/>
            <w:bookmarkEnd w:id="799"/>
            <w:bookmarkStart w:id="800" w:name="5330e78fb1bf4ba1a021f3364fc03828"/>
            <w:r>
              <w:rPr>
                <w:rFonts w:ascii="Arial" w:eastAsia="Arial" w:hAnsi="Arial" w:cs="Arial"/>
                <w:b w:val="0"/>
                <w:i w:val="0"/>
                <w:strike w:val="0"/>
                <w:color w:val="000000"/>
                <w:sz w:val="13"/>
                <w:u w:val="none"/>
                <w:vertAlign w:val="baseline"/>
              </w:rPr>
              <w:t>-39</w:t>
            </w:r>
            <w:bookmarkStart w:id="801" w:name="XBRL_CE_5330e78fb1bf4ba1a021f3364fc03828"/>
            <w:bookmarkEnd w:id="800"/>
            <w:bookmarkEnd w:id="801"/>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02" w:name="XBRL_CS_b4c0f11ca575490f9071adc53537865f"/>
            <w:bookmarkEnd w:id="802"/>
            <w:bookmarkStart w:id="803" w:name="b4c0f11ca575490f9071adc53537865f"/>
            <w:r>
              <w:rPr>
                <w:rFonts w:ascii="Arial" w:eastAsia="Arial" w:hAnsi="Arial" w:cs="Arial"/>
                <w:b w:val="0"/>
                <w:i w:val="0"/>
                <w:strike w:val="0"/>
                <w:color w:val="000000"/>
                <w:sz w:val="13"/>
                <w:u w:val="none"/>
                <w:vertAlign w:val="baseline"/>
              </w:rPr>
              <w:t>2,245</w:t>
            </w:r>
            <w:bookmarkStart w:id="804" w:name="XBRL_CE_b4c0f11ca575490f9071adc53537865f"/>
            <w:bookmarkEnd w:id="803"/>
            <w:bookmarkEnd w:id="804"/>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05" w:name="XBRL_CS_99ef8ce240fd4260a56b68e0ef3feb2b"/>
            <w:bookmarkEnd w:id="805"/>
            <w:bookmarkStart w:id="806" w:name="99ef8ce240fd4260a56b68e0ef3feb2b"/>
            <w:r>
              <w:rPr>
                <w:rFonts w:ascii="Arial" w:eastAsia="Arial" w:hAnsi="Arial" w:cs="Arial"/>
                <w:b w:val="0"/>
                <w:i w:val="0"/>
                <w:strike w:val="0"/>
                <w:color w:val="000000"/>
                <w:sz w:val="13"/>
                <w:u w:val="none"/>
                <w:vertAlign w:val="baseline"/>
              </w:rPr>
              <w:t>2,418</w:t>
            </w:r>
            <w:bookmarkStart w:id="807" w:name="XBRL_CE_99ef8ce240fd4260a56b68e0ef3feb2b"/>
            <w:bookmarkEnd w:id="806"/>
            <w:bookmarkEnd w:id="807"/>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08" w:name="XBRL_CS_77a24070ab994a7c9aab07352f650661"/>
            <w:bookmarkEnd w:id="808"/>
            <w:bookmarkStart w:id="809" w:name="77a24070ab994a7c9aab07352f650661"/>
            <w:r>
              <w:rPr>
                <w:rFonts w:ascii="Arial" w:eastAsia="Arial" w:hAnsi="Arial" w:cs="Arial"/>
                <w:b w:val="0"/>
                <w:i w:val="0"/>
                <w:strike w:val="0"/>
                <w:color w:val="000000"/>
                <w:sz w:val="13"/>
                <w:u w:val="none"/>
                <w:vertAlign w:val="baseline"/>
              </w:rPr>
              <w:t>14</w:t>
            </w:r>
            <w:bookmarkStart w:id="810" w:name="XBRL_CE_77a24070ab994a7c9aab07352f650661"/>
            <w:bookmarkEnd w:id="809"/>
            <w:bookmarkEnd w:id="810"/>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11" w:name="XBRL_CS_b337fbbc3c9643829f3944c186f828c2"/>
            <w:bookmarkEnd w:id="811"/>
            <w:bookmarkStart w:id="812" w:name="b337fbbc3c9643829f3944c186f828c2"/>
            <w:r>
              <w:rPr>
                <w:rFonts w:ascii="Arial" w:eastAsia="Arial" w:hAnsi="Arial" w:cs="Arial"/>
                <w:b w:val="0"/>
                <w:i w:val="0"/>
                <w:strike w:val="0"/>
                <w:color w:val="000000"/>
                <w:sz w:val="13"/>
                <w:u w:val="none"/>
                <w:vertAlign w:val="baseline"/>
              </w:rPr>
              <w:t>2,432</w:t>
            </w:r>
            <w:bookmarkStart w:id="813" w:name="XBRL_CE_b337fbbc3c9643829f3944c186f828c2"/>
            <w:bookmarkEnd w:id="812"/>
            <w:bookmarkEnd w:id="813"/>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Translation differences</w:t>
            </w: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14" w:name="XBRL_CS_63b2d10e927d4f40bbf95c7dea01e469"/>
            <w:bookmarkEnd w:id="814"/>
            <w:bookmarkStart w:id="815" w:name="63b2d10e927d4f40bbf95c7dea01e469"/>
            <w:r>
              <w:rPr>
                <w:rFonts w:ascii="Arial" w:eastAsia="Arial" w:hAnsi="Arial" w:cs="Arial"/>
                <w:b w:val="0"/>
                <w:i w:val="0"/>
                <w:strike w:val="0"/>
                <w:color w:val="000000"/>
                <w:sz w:val="13"/>
                <w:u w:val="none"/>
                <w:vertAlign w:val="baseline"/>
              </w:rPr>
              <w:t>41</w:t>
            </w:r>
            <w:bookmarkStart w:id="816" w:name="XBRL_CE_63b2d10e927d4f40bbf95c7dea01e469"/>
            <w:bookmarkEnd w:id="815"/>
            <w:bookmarkEnd w:id="816"/>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17" w:name="XBRL_CS_bb884ec41df94b668a09ab9b1fad5f49"/>
            <w:bookmarkEnd w:id="817"/>
            <w:bookmarkStart w:id="818" w:name="bb884ec41df94b668a09ab9b1fad5f49"/>
            <w:r>
              <w:rPr>
                <w:rFonts w:ascii="Arial" w:eastAsia="Arial" w:hAnsi="Arial" w:cs="Arial"/>
                <w:b w:val="0"/>
                <w:i w:val="0"/>
                <w:strike w:val="0"/>
                <w:color w:val="000000"/>
                <w:sz w:val="13"/>
                <w:u w:val="none"/>
                <w:vertAlign w:val="baseline"/>
              </w:rPr>
              <w:t>41</w:t>
            </w:r>
            <w:bookmarkStart w:id="819" w:name="XBRL_CE_bb884ec41df94b668a09ab9b1fad5f49"/>
            <w:bookmarkEnd w:id="818"/>
            <w:bookmarkEnd w:id="819"/>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20" w:name="XBRL_CS_303b778362784e21813872bd7913b5aa"/>
            <w:bookmarkEnd w:id="820"/>
            <w:bookmarkStart w:id="821" w:name="303b778362784e21813872bd7913b5aa"/>
            <w:r>
              <w:rPr>
                <w:rFonts w:ascii="Arial" w:eastAsia="Arial" w:hAnsi="Arial" w:cs="Arial"/>
                <w:b w:val="0"/>
                <w:i w:val="0"/>
                <w:strike w:val="0"/>
                <w:color w:val="000000"/>
                <w:sz w:val="13"/>
                <w:u w:val="none"/>
                <w:vertAlign w:val="baseline"/>
              </w:rPr>
              <w:t>41</w:t>
            </w:r>
            <w:bookmarkStart w:id="822" w:name="XBRL_CE_303b778362784e21813872bd7913b5aa"/>
            <w:bookmarkEnd w:id="821"/>
            <w:bookmarkEnd w:id="822"/>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hedges</w:t>
            </w: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net change in fair value, net of taxes</w:t>
            </w: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23" w:name="XBRL_CS_37073400799044bd989e959c66362d73"/>
            <w:bookmarkEnd w:id="823"/>
            <w:bookmarkStart w:id="824" w:name="37073400799044bd989e959c66362d73"/>
            <w:r>
              <w:rPr>
                <w:rFonts w:ascii="Arial" w:eastAsia="Arial" w:hAnsi="Arial" w:cs="Arial"/>
                <w:b w:val="0"/>
                <w:i w:val="0"/>
                <w:strike w:val="0"/>
                <w:color w:val="000000"/>
                <w:sz w:val="13"/>
                <w:u w:val="none"/>
                <w:vertAlign w:val="baseline"/>
              </w:rPr>
              <w:t>4</w:t>
            </w:r>
            <w:bookmarkStart w:id="825" w:name="XBRL_CE_37073400799044bd989e959c66362d73"/>
            <w:bookmarkEnd w:id="824"/>
            <w:bookmarkEnd w:id="825"/>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26" w:name="XBRL_CS_1697757b57bd4b1c9f7233abc60c4b9a"/>
            <w:bookmarkEnd w:id="826"/>
            <w:bookmarkStart w:id="827" w:name="1697757b57bd4b1c9f7233abc60c4b9a"/>
            <w:r>
              <w:rPr>
                <w:rFonts w:ascii="Arial" w:eastAsia="Arial" w:hAnsi="Arial" w:cs="Arial"/>
                <w:b w:val="0"/>
                <w:i w:val="0"/>
                <w:strike w:val="0"/>
                <w:color w:val="000000"/>
                <w:sz w:val="13"/>
                <w:u w:val="none"/>
                <w:vertAlign w:val="baseline"/>
              </w:rPr>
              <w:t>4</w:t>
            </w:r>
            <w:bookmarkStart w:id="828" w:name="XBRL_CE_1697757b57bd4b1c9f7233abc60c4b9a"/>
            <w:bookmarkEnd w:id="827"/>
            <w:bookmarkEnd w:id="828"/>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29" w:name="XBRL_CS_989694b1ffcc4fb49384a803658b6f85"/>
            <w:bookmarkEnd w:id="829"/>
            <w:bookmarkStart w:id="830" w:name="989694b1ffcc4fb49384a803658b6f85"/>
            <w:r>
              <w:rPr>
                <w:rFonts w:ascii="Arial" w:eastAsia="Arial" w:hAnsi="Arial" w:cs="Arial"/>
                <w:b w:val="0"/>
                <w:i w:val="0"/>
                <w:strike w:val="0"/>
                <w:color w:val="000000"/>
                <w:sz w:val="13"/>
                <w:u w:val="none"/>
                <w:vertAlign w:val="baseline"/>
              </w:rPr>
              <w:t>4</w:t>
            </w:r>
            <w:bookmarkStart w:id="831" w:name="XBRL_CE_989694b1ffcc4fb49384a803658b6f85"/>
            <w:bookmarkEnd w:id="830"/>
            <w:bookmarkEnd w:id="831"/>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transferred to the statement of income, net of taxes</w:t>
            </w: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32" w:name="XBRL_CS_81ac8c00f1284d8788b5b1825daa9d35"/>
            <w:bookmarkEnd w:id="832"/>
            <w:bookmarkStart w:id="833" w:name="81ac8c00f1284d8788b5b1825daa9d35"/>
            <w:r>
              <w:rPr>
                <w:rFonts w:ascii="Arial" w:eastAsia="Arial" w:hAnsi="Arial" w:cs="Arial"/>
                <w:b w:val="0"/>
                <w:i w:val="0"/>
                <w:strike w:val="0"/>
                <w:color w:val="000000"/>
                <w:sz w:val="13"/>
                <w:u w:val="none"/>
                <w:vertAlign w:val="baseline"/>
              </w:rPr>
              <w:t>16</w:t>
            </w:r>
            <w:bookmarkStart w:id="834" w:name="XBRL_CE_81ac8c00f1284d8788b5b1825daa9d35"/>
            <w:bookmarkEnd w:id="833"/>
            <w:bookmarkEnd w:id="834"/>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35" w:name="XBRL_CS_9ce6390f610e4c7898fcb10b2e042bc9"/>
            <w:bookmarkEnd w:id="835"/>
            <w:bookmarkStart w:id="836" w:name="9ce6390f610e4c7898fcb10b2e042bc9"/>
            <w:r>
              <w:rPr>
                <w:rFonts w:ascii="Arial" w:eastAsia="Arial" w:hAnsi="Arial" w:cs="Arial"/>
                <w:b w:val="0"/>
                <w:i w:val="0"/>
                <w:strike w:val="0"/>
                <w:color w:val="000000"/>
                <w:sz w:val="13"/>
                <w:u w:val="none"/>
                <w:vertAlign w:val="baseline"/>
              </w:rPr>
              <w:t>16</w:t>
            </w:r>
            <w:bookmarkStart w:id="837" w:name="XBRL_CE_9ce6390f610e4c7898fcb10b2e042bc9"/>
            <w:bookmarkEnd w:id="836"/>
            <w:bookmarkEnd w:id="837"/>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38" w:name="XBRL_CS_f32b0059f8fb426a9665ea9fb8f6c957"/>
            <w:bookmarkEnd w:id="838"/>
            <w:bookmarkStart w:id="839" w:name="f32b0059f8fb426a9665ea9fb8f6c957"/>
            <w:r>
              <w:rPr>
                <w:rFonts w:ascii="Arial" w:eastAsia="Arial" w:hAnsi="Arial" w:cs="Arial"/>
                <w:b w:val="0"/>
                <w:i w:val="0"/>
                <w:strike w:val="0"/>
                <w:color w:val="000000"/>
                <w:sz w:val="13"/>
                <w:u w:val="none"/>
                <w:vertAlign w:val="baseline"/>
              </w:rPr>
              <w:t>16</w:t>
            </w:r>
            <w:bookmarkStart w:id="840" w:name="XBRL_CE_f32b0059f8fb426a9665ea9fb8f6c957"/>
            <w:bookmarkEnd w:id="839"/>
            <w:bookmarkEnd w:id="840"/>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Defined benefit plans</w:t>
            </w: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41" w:name="XBRL_CS_66ee34e0e5624923bb3e3841dad6e0c5"/>
            <w:bookmarkEnd w:id="841"/>
            <w:bookmarkStart w:id="842" w:name="66ee34e0e5624923bb3e3841dad6e0c5"/>
            <w:r>
              <w:rPr>
                <w:rFonts w:ascii="Arial" w:eastAsia="Arial" w:hAnsi="Arial" w:cs="Arial"/>
                <w:b w:val="0"/>
                <w:i w:val="0"/>
                <w:strike w:val="0"/>
                <w:color w:val="000000"/>
                <w:sz w:val="13"/>
                <w:u w:val="none"/>
                <w:vertAlign w:val="baseline"/>
              </w:rPr>
              <w:t>-16</w:t>
            </w:r>
            <w:bookmarkStart w:id="843" w:name="XBRL_CE_66ee34e0e5624923bb3e3841dad6e0c5"/>
            <w:bookmarkEnd w:id="842"/>
            <w:bookmarkEnd w:id="843"/>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44" w:name="XBRL_CS_0d7b1ba7753946ccbcb91a207593899f"/>
            <w:bookmarkEnd w:id="844"/>
            <w:bookmarkStart w:id="845" w:name="0d7b1ba7753946ccbcb91a207593899f"/>
            <w:r>
              <w:rPr>
                <w:rFonts w:ascii="Arial" w:eastAsia="Arial" w:hAnsi="Arial" w:cs="Arial"/>
                <w:b w:val="0"/>
                <w:i w:val="0"/>
                <w:strike w:val="0"/>
                <w:color w:val="000000"/>
                <w:sz w:val="13"/>
                <w:u w:val="none"/>
                <w:vertAlign w:val="baseline"/>
              </w:rPr>
              <w:t>-16</w:t>
            </w:r>
            <w:bookmarkStart w:id="846" w:name="XBRL_CE_0d7b1ba7753946ccbcb91a207593899f"/>
            <w:bookmarkEnd w:id="845"/>
            <w:bookmarkEnd w:id="846"/>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47" w:name="XBRL_CS_4bdb04808bb745f5a3069a7c3049afb7"/>
            <w:bookmarkEnd w:id="847"/>
            <w:bookmarkStart w:id="848" w:name="4bdb04808bb745f5a3069a7c3049afb7"/>
            <w:r>
              <w:rPr>
                <w:rFonts w:ascii="Arial" w:eastAsia="Arial" w:hAnsi="Arial" w:cs="Arial"/>
                <w:b w:val="0"/>
                <w:i w:val="0"/>
                <w:strike w:val="0"/>
                <w:color w:val="000000"/>
                <w:sz w:val="13"/>
                <w:u w:val="none"/>
                <w:vertAlign w:val="baseline"/>
              </w:rPr>
              <w:t>-16</w:t>
            </w:r>
            <w:bookmarkStart w:id="849" w:name="XBRL_CE_4bdb04808bb745f5a3069a7c3049afb7"/>
            <w:bookmarkEnd w:id="848"/>
            <w:bookmarkEnd w:id="849"/>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 comprehensive income</w:t>
            </w:r>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50" w:name="XBRL_CS_6dba307945424ec88da5ec40d134b835"/>
            <w:bookmarkEnd w:id="850"/>
            <w:bookmarkStart w:id="851" w:name="6dba307945424ec88da5ec40d134b835"/>
            <w:r>
              <w:rPr>
                <w:rFonts w:ascii="Arial" w:eastAsia="Arial" w:hAnsi="Arial" w:cs="Arial"/>
                <w:b w:val="0"/>
                <w:i w:val="0"/>
                <w:strike w:val="0"/>
                <w:color w:val="000000"/>
                <w:sz w:val="13"/>
                <w:u w:val="none"/>
                <w:vertAlign w:val="baseline"/>
              </w:rPr>
              <w:t>41</w:t>
            </w:r>
            <w:bookmarkStart w:id="852" w:name="XBRL_CE_6dba307945424ec88da5ec40d134b835"/>
            <w:bookmarkEnd w:id="851"/>
            <w:bookmarkEnd w:id="852"/>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53" w:name="XBRL_CS_a33f5efd6f7e439490f4f685a2ea5bdc"/>
            <w:bookmarkEnd w:id="853"/>
            <w:bookmarkStart w:id="854" w:name="a33f5efd6f7e439490f4f685a2ea5bdc"/>
            <w:r>
              <w:rPr>
                <w:rFonts w:ascii="Arial" w:eastAsia="Arial" w:hAnsi="Arial" w:cs="Arial"/>
                <w:b w:val="0"/>
                <w:i w:val="0"/>
                <w:strike w:val="0"/>
                <w:color w:val="000000"/>
                <w:sz w:val="13"/>
                <w:u w:val="none"/>
                <w:vertAlign w:val="baseline"/>
              </w:rPr>
              <w:t>20</w:t>
            </w:r>
            <w:bookmarkStart w:id="855" w:name="XBRL_CE_a33f5efd6f7e439490f4f685a2ea5bdc"/>
            <w:bookmarkEnd w:id="854"/>
            <w:bookmarkEnd w:id="855"/>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56" w:name="XBRL_CS_e2fd4c63da0d4977ad27e6cc3fca166c"/>
            <w:bookmarkEnd w:id="856"/>
            <w:bookmarkStart w:id="857" w:name="e2fd4c63da0d4977ad27e6cc3fca166c"/>
            <w:r>
              <w:rPr>
                <w:rFonts w:ascii="Arial" w:eastAsia="Arial" w:hAnsi="Arial" w:cs="Arial"/>
                <w:b w:val="0"/>
                <w:i w:val="0"/>
                <w:strike w:val="0"/>
                <w:color w:val="000000"/>
                <w:sz w:val="13"/>
                <w:u w:val="none"/>
                <w:vertAlign w:val="baseline"/>
              </w:rPr>
              <w:t>-16</w:t>
            </w:r>
            <w:bookmarkStart w:id="858" w:name="XBRL_CE_e2fd4c63da0d4977ad27e6cc3fca166c"/>
            <w:bookmarkEnd w:id="857"/>
            <w:bookmarkEnd w:id="858"/>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59" w:name="XBRL_CS_1b7b61e40e65415482ee14160b40f848"/>
            <w:bookmarkEnd w:id="859"/>
            <w:bookmarkStart w:id="860" w:name="1b7b61e40e65415482ee14160b40f848"/>
            <w:r>
              <w:rPr>
                <w:rFonts w:ascii="Arial" w:eastAsia="Arial" w:hAnsi="Arial" w:cs="Arial"/>
                <w:b w:val="0"/>
                <w:i w:val="0"/>
                <w:strike w:val="0"/>
                <w:color w:val="000000"/>
                <w:sz w:val="13"/>
                <w:u w:val="none"/>
                <w:vertAlign w:val="baseline"/>
              </w:rPr>
              <w:t>45</w:t>
            </w:r>
            <w:bookmarkStart w:id="861" w:name="XBRL_CE_1b7b61e40e65415482ee14160b40f848"/>
            <w:bookmarkEnd w:id="860"/>
            <w:bookmarkEnd w:id="861"/>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62" w:name="XBRL_CS_10a594352112459a9cac36568980540c"/>
            <w:bookmarkEnd w:id="862"/>
            <w:bookmarkStart w:id="863" w:name="10a594352112459a9cac36568980540c"/>
            <w:r>
              <w:rPr>
                <w:rFonts w:ascii="Arial" w:eastAsia="Arial" w:hAnsi="Arial" w:cs="Arial"/>
                <w:b w:val="0"/>
                <w:i w:val="0"/>
                <w:strike w:val="0"/>
                <w:color w:val="000000"/>
                <w:sz w:val="13"/>
                <w:u w:val="none"/>
                <w:vertAlign w:val="baseline"/>
              </w:rPr>
              <w:t>45</w:t>
            </w:r>
            <w:bookmarkStart w:id="864" w:name="XBRL_CE_10a594352112459a9cac36568980540c"/>
            <w:bookmarkEnd w:id="863"/>
            <w:bookmarkEnd w:id="864"/>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for the financial period</w:t>
            </w: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65" w:name="XBRL_CS_50edfeff50cd452ab257f956d5da6fbf"/>
            <w:bookmarkEnd w:id="865"/>
            <w:bookmarkStart w:id="866" w:name="50edfeff50cd452ab257f956d5da6fbf"/>
            <w:r>
              <w:rPr>
                <w:rFonts w:ascii="Arial" w:eastAsia="Arial" w:hAnsi="Arial" w:cs="Arial"/>
                <w:b w:val="0"/>
                <w:i w:val="0"/>
                <w:strike w:val="0"/>
                <w:color w:val="000000"/>
                <w:sz w:val="13"/>
                <w:u w:val="none"/>
                <w:vertAlign w:val="baseline"/>
              </w:rPr>
              <w:t>217</w:t>
            </w:r>
            <w:bookmarkStart w:id="867" w:name="XBRL_CE_50edfeff50cd452ab257f956d5da6fbf"/>
            <w:bookmarkEnd w:id="866"/>
            <w:bookmarkEnd w:id="867"/>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68" w:name="XBRL_CS_f3e6ca4387b7439c83a92a48a5561765"/>
            <w:bookmarkEnd w:id="868"/>
            <w:bookmarkStart w:id="869" w:name="f3e6ca4387b7439c83a92a48a5561765"/>
            <w:r>
              <w:rPr>
                <w:rFonts w:ascii="Arial" w:eastAsia="Arial" w:hAnsi="Arial" w:cs="Arial"/>
                <w:b w:val="0"/>
                <w:i w:val="0"/>
                <w:strike w:val="0"/>
                <w:color w:val="000000"/>
                <w:sz w:val="13"/>
                <w:u w:val="none"/>
                <w:vertAlign w:val="baseline"/>
              </w:rPr>
              <w:t>217</w:t>
            </w:r>
            <w:bookmarkStart w:id="870" w:name="XBRL_CE_f3e6ca4387b7439c83a92a48a5561765"/>
            <w:bookmarkEnd w:id="869"/>
            <w:bookmarkEnd w:id="870"/>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71" w:name="XBRL_CS_69f3f4cae84842399d9f1758ac0066cd"/>
            <w:bookmarkEnd w:id="871"/>
            <w:bookmarkStart w:id="872" w:name="69f3f4cae84842399d9f1758ac0066cd"/>
            <w:r>
              <w:rPr>
                <w:rFonts w:ascii="Arial" w:eastAsia="Arial" w:hAnsi="Arial" w:cs="Arial"/>
                <w:b w:val="0"/>
                <w:i w:val="0"/>
                <w:strike w:val="0"/>
                <w:color w:val="000000"/>
                <w:sz w:val="13"/>
                <w:u w:val="none"/>
                <w:vertAlign w:val="baseline"/>
              </w:rPr>
              <w:t>1</w:t>
            </w:r>
            <w:bookmarkStart w:id="873" w:name="XBRL_CE_69f3f4cae84842399d9f1758ac0066cd"/>
            <w:bookmarkEnd w:id="872"/>
            <w:bookmarkEnd w:id="873"/>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74" w:name="XBRL_CS_1820df939721466ea0c4bc74b947fe4c"/>
            <w:bookmarkEnd w:id="874"/>
            <w:bookmarkStart w:id="875" w:name="1820df939721466ea0c4bc74b947fe4c"/>
            <w:r>
              <w:rPr>
                <w:rFonts w:ascii="Arial" w:eastAsia="Arial" w:hAnsi="Arial" w:cs="Arial"/>
                <w:b w:val="0"/>
                <w:i w:val="0"/>
                <w:strike w:val="0"/>
                <w:color w:val="000000"/>
                <w:sz w:val="13"/>
                <w:u w:val="none"/>
                <w:vertAlign w:val="baseline"/>
              </w:rPr>
              <w:t>218</w:t>
            </w:r>
            <w:bookmarkStart w:id="876" w:name="XBRL_CE_1820df939721466ea0c4bc74b947fe4c"/>
            <w:bookmarkEnd w:id="875"/>
            <w:bookmarkEnd w:id="876"/>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comprehensive income for the financial period</w:t>
            </w:r>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77" w:name="XBRL_CS_f0aaf355319e41c7a82ae839054e419a"/>
            <w:bookmarkEnd w:id="877"/>
            <w:bookmarkStart w:id="878" w:name="f0aaf355319e41c7a82ae839054e419a"/>
            <w:r>
              <w:rPr>
                <w:rFonts w:ascii="Arial" w:eastAsia="Arial" w:hAnsi="Arial" w:cs="Arial"/>
                <w:b w:val="0"/>
                <w:i w:val="0"/>
                <w:strike w:val="0"/>
                <w:color w:val="000000"/>
                <w:sz w:val="13"/>
                <w:u w:val="none"/>
                <w:vertAlign w:val="baseline"/>
              </w:rPr>
              <w:t>41</w:t>
            </w:r>
            <w:bookmarkStart w:id="879" w:name="XBRL_CE_f0aaf355319e41c7a82ae839054e419a"/>
            <w:bookmarkEnd w:id="878"/>
            <w:bookmarkEnd w:id="879"/>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80" w:name="XBRL_CS_4ee10522afdd49e29c8d9840e501e762"/>
            <w:bookmarkEnd w:id="880"/>
            <w:bookmarkStart w:id="881" w:name="4ee10522afdd49e29c8d9840e501e762"/>
            <w:r>
              <w:rPr>
                <w:rFonts w:ascii="Arial" w:eastAsia="Arial" w:hAnsi="Arial" w:cs="Arial"/>
                <w:b w:val="0"/>
                <w:i w:val="0"/>
                <w:strike w:val="0"/>
                <w:color w:val="000000"/>
                <w:sz w:val="13"/>
                <w:u w:val="none"/>
                <w:vertAlign w:val="baseline"/>
              </w:rPr>
              <w:t>20</w:t>
            </w:r>
            <w:bookmarkStart w:id="882" w:name="XBRL_CE_4ee10522afdd49e29c8d9840e501e762"/>
            <w:bookmarkEnd w:id="881"/>
            <w:bookmarkEnd w:id="882"/>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83" w:name="XBRL_CS_3c368e0f2f604c88b748198f1884327e"/>
            <w:bookmarkEnd w:id="883"/>
            <w:bookmarkStart w:id="884" w:name="3c368e0f2f604c88b748198f1884327e"/>
            <w:r>
              <w:rPr>
                <w:rFonts w:ascii="Arial" w:eastAsia="Arial" w:hAnsi="Arial" w:cs="Arial"/>
                <w:b w:val="0"/>
                <w:i w:val="0"/>
                <w:strike w:val="0"/>
                <w:color w:val="000000"/>
                <w:sz w:val="13"/>
                <w:u w:val="none"/>
                <w:vertAlign w:val="baseline"/>
              </w:rPr>
              <w:t>-16</w:t>
            </w:r>
            <w:bookmarkStart w:id="885" w:name="XBRL_CE_3c368e0f2f604c88b748198f1884327e"/>
            <w:bookmarkEnd w:id="884"/>
            <w:bookmarkEnd w:id="885"/>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86" w:name="XBRL_CS_248bccb9e6a34ca1973799c080b1424e"/>
            <w:bookmarkEnd w:id="886"/>
            <w:bookmarkStart w:id="887" w:name="248bccb9e6a34ca1973799c080b1424e"/>
            <w:r>
              <w:rPr>
                <w:rFonts w:ascii="Arial" w:eastAsia="Arial" w:hAnsi="Arial" w:cs="Arial"/>
                <w:b w:val="0"/>
                <w:i w:val="0"/>
                <w:strike w:val="0"/>
                <w:color w:val="000000"/>
                <w:sz w:val="13"/>
                <w:u w:val="none"/>
                <w:vertAlign w:val="baseline"/>
              </w:rPr>
              <w:t>217</w:t>
            </w:r>
            <w:bookmarkStart w:id="888" w:name="XBRL_CE_248bccb9e6a34ca1973799c080b1424e"/>
            <w:bookmarkEnd w:id="887"/>
            <w:bookmarkEnd w:id="888"/>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89" w:name="XBRL_CS_0008d6d485da42348d141957d2af927b"/>
            <w:bookmarkEnd w:id="889"/>
            <w:bookmarkStart w:id="890" w:name="0008d6d485da42348d141957d2af927b"/>
            <w:r>
              <w:rPr>
                <w:rFonts w:ascii="Arial" w:eastAsia="Arial" w:hAnsi="Arial" w:cs="Arial"/>
                <w:b w:val="0"/>
                <w:i w:val="0"/>
                <w:strike w:val="0"/>
                <w:color w:val="000000"/>
                <w:sz w:val="13"/>
                <w:u w:val="none"/>
                <w:vertAlign w:val="baseline"/>
              </w:rPr>
              <w:t>262</w:t>
            </w:r>
            <w:bookmarkStart w:id="891" w:name="XBRL_CE_0008d6d485da42348d141957d2af927b"/>
            <w:bookmarkEnd w:id="890"/>
            <w:bookmarkEnd w:id="891"/>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92" w:name="XBRL_CS_db70e14449a54cae81925cdcac73ffd6"/>
            <w:bookmarkEnd w:id="892"/>
            <w:bookmarkStart w:id="893" w:name="db70e14449a54cae81925cdcac73ffd6"/>
            <w:r>
              <w:rPr>
                <w:rFonts w:ascii="Arial" w:eastAsia="Arial" w:hAnsi="Arial" w:cs="Arial"/>
                <w:b w:val="0"/>
                <w:i w:val="0"/>
                <w:strike w:val="0"/>
                <w:color w:val="000000"/>
                <w:sz w:val="13"/>
                <w:u w:val="none"/>
                <w:vertAlign w:val="baseline"/>
              </w:rPr>
              <w:t>1</w:t>
            </w:r>
            <w:bookmarkStart w:id="894" w:name="XBRL_CE_db70e14449a54cae81925cdcac73ffd6"/>
            <w:bookmarkEnd w:id="893"/>
            <w:bookmarkEnd w:id="894"/>
          </w:p>
        </w:tc>
        <w:tc>
          <w:tcPr>
            <w:tcW w:w="105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95" w:name="XBRL_CS_e3c90149b90b435ea307c284ef9bf9c8"/>
            <w:bookmarkEnd w:id="895"/>
            <w:bookmarkStart w:id="896" w:name="e3c90149b90b435ea307c284ef9bf9c8"/>
            <w:r>
              <w:rPr>
                <w:rFonts w:ascii="Arial" w:eastAsia="Arial" w:hAnsi="Arial" w:cs="Arial"/>
                <w:b w:val="0"/>
                <w:i w:val="0"/>
                <w:strike w:val="0"/>
                <w:color w:val="000000"/>
                <w:sz w:val="13"/>
                <w:u w:val="none"/>
                <w:vertAlign w:val="baseline"/>
              </w:rPr>
              <w:t>263</w:t>
            </w:r>
            <w:bookmarkStart w:id="897" w:name="XBRL_CE_e3c90149b90b435ea307c284ef9bf9c8"/>
            <w:bookmarkEnd w:id="896"/>
            <w:bookmarkEnd w:id="897"/>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Dividends paid</w:t>
            </w: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898" w:name="XBRL_CS_1efe4a0f037a4a1195f1ceda2e244322"/>
            <w:bookmarkEnd w:id="898"/>
            <w:bookmarkStart w:id="899" w:name="1efe4a0f037a4a1195f1ceda2e244322"/>
            <w:r>
              <w:rPr>
                <w:rFonts w:ascii="Arial" w:eastAsia="Arial" w:hAnsi="Arial" w:cs="Arial"/>
                <w:b w:val="0"/>
                <w:i w:val="0"/>
                <w:strike w:val="0"/>
                <w:color w:val="000000"/>
                <w:sz w:val="13"/>
                <w:u w:val="none"/>
                <w:vertAlign w:val="baseline"/>
              </w:rPr>
              <w:t>-284</w:t>
            </w:r>
            <w:bookmarkStart w:id="900" w:name="XBRL_CE_1efe4a0f037a4a1195f1ceda2e244322"/>
            <w:bookmarkEnd w:id="899"/>
            <w:bookmarkEnd w:id="900"/>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01" w:name="XBRL_CS_7d62a2de3ed2423d9f5c6b0d2bb5346a"/>
            <w:bookmarkEnd w:id="901"/>
            <w:bookmarkStart w:id="902" w:name="7d62a2de3ed2423d9f5c6b0d2bb5346a"/>
            <w:r>
              <w:rPr>
                <w:rFonts w:ascii="Arial" w:eastAsia="Arial" w:hAnsi="Arial" w:cs="Arial"/>
                <w:b w:val="0"/>
                <w:i w:val="0"/>
                <w:strike w:val="0"/>
                <w:color w:val="000000"/>
                <w:sz w:val="13"/>
                <w:u w:val="none"/>
                <w:vertAlign w:val="baseline"/>
              </w:rPr>
              <w:t>-284</w:t>
            </w:r>
            <w:bookmarkStart w:id="903" w:name="XBRL_CE_7d62a2de3ed2423d9f5c6b0d2bb5346a"/>
            <w:bookmarkEnd w:id="902"/>
            <w:bookmarkEnd w:id="903"/>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04" w:name="XBRL_CS_2826e858a23f44adaf2fb940604a2b79"/>
            <w:bookmarkEnd w:id="904"/>
            <w:bookmarkStart w:id="905" w:name="2826e858a23f44adaf2fb940604a2b79"/>
            <w:r>
              <w:rPr>
                <w:rFonts w:ascii="Arial" w:eastAsia="Arial" w:hAnsi="Arial" w:cs="Arial"/>
                <w:b w:val="0"/>
                <w:i w:val="0"/>
                <w:strike w:val="0"/>
                <w:color w:val="000000"/>
                <w:sz w:val="13"/>
                <w:u w:val="none"/>
                <w:vertAlign w:val="baseline"/>
              </w:rPr>
              <w:t>-1</w:t>
            </w:r>
            <w:bookmarkStart w:id="906" w:name="XBRL_CE_2826e858a23f44adaf2fb940604a2b79"/>
            <w:bookmarkEnd w:id="905"/>
            <w:bookmarkEnd w:id="906"/>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07" w:name="XBRL_CS_16217cfa58b9485d9f8800afe8482c63"/>
            <w:bookmarkEnd w:id="907"/>
            <w:bookmarkStart w:id="908" w:name="16217cfa58b9485d9f8800afe8482c63"/>
            <w:r>
              <w:rPr>
                <w:rFonts w:ascii="Arial" w:eastAsia="Arial" w:hAnsi="Arial" w:cs="Arial"/>
                <w:b w:val="0"/>
                <w:i w:val="0"/>
                <w:strike w:val="0"/>
                <w:color w:val="000000"/>
                <w:sz w:val="13"/>
                <w:u w:val="none"/>
                <w:vertAlign w:val="baseline"/>
              </w:rPr>
              <w:t>-285</w:t>
            </w:r>
            <w:bookmarkStart w:id="909" w:name="XBRL_CE_16217cfa58b9485d9f8800afe8482c63"/>
            <w:bookmarkEnd w:id="908"/>
            <w:bookmarkEnd w:id="909"/>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 on 31 December 2019</w:t>
            </w:r>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10" w:name="XBRL_CS_f473ff176b20412baa7e4c5a6db06043"/>
            <w:bookmarkEnd w:id="910"/>
            <w:bookmarkStart w:id="911" w:name="f473ff176b20412baa7e4c5a6db06043"/>
            <w:r>
              <w:rPr>
                <w:rFonts w:ascii="Arial" w:eastAsia="Arial" w:hAnsi="Arial" w:cs="Arial"/>
                <w:b w:val="0"/>
                <w:i w:val="0"/>
                <w:strike w:val="0"/>
                <w:color w:val="000000"/>
                <w:sz w:val="13"/>
                <w:u w:val="none"/>
                <w:vertAlign w:val="baseline"/>
              </w:rPr>
              <w:t>336</w:t>
            </w:r>
            <w:bookmarkStart w:id="912" w:name="XBRL_CE_f473ff176b20412baa7e4c5a6db06043"/>
            <w:bookmarkEnd w:id="911"/>
            <w:bookmarkEnd w:id="912"/>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13" w:name="XBRL_CS_4c20f62af2e546a8b90e0639e135ebaa"/>
            <w:bookmarkEnd w:id="913"/>
            <w:bookmarkStart w:id="914" w:name="4c20f62af2e546a8b90e0639e135ebaa"/>
            <w:r>
              <w:rPr>
                <w:rFonts w:ascii="Arial" w:eastAsia="Arial" w:hAnsi="Arial" w:cs="Arial"/>
                <w:b w:val="0"/>
                <w:i w:val="0"/>
                <w:strike w:val="0"/>
                <w:color w:val="000000"/>
                <w:sz w:val="13"/>
                <w:u w:val="none"/>
                <w:vertAlign w:val="baseline"/>
              </w:rPr>
              <w:t>61</w:t>
            </w:r>
            <w:bookmarkStart w:id="915" w:name="XBRL_CE_4c20f62af2e546a8b90e0639e135ebaa"/>
            <w:bookmarkEnd w:id="914"/>
            <w:bookmarkEnd w:id="915"/>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16" w:name="XBRL_CS_25464ff0a70b4bdd8ab47cb55845f2a5"/>
            <w:bookmarkEnd w:id="916"/>
            <w:bookmarkStart w:id="917" w:name="25464ff0a70b4bdd8ab47cb55845f2a5"/>
            <w:r>
              <w:rPr>
                <w:rFonts w:ascii="Arial" w:eastAsia="Arial" w:hAnsi="Arial" w:cs="Arial"/>
                <w:b w:val="0"/>
                <w:i w:val="0"/>
                <w:strike w:val="0"/>
                <w:color w:val="000000"/>
                <w:sz w:val="13"/>
                <w:u w:val="none"/>
                <w:vertAlign w:val="baseline"/>
              </w:rPr>
              <w:t>-114</w:t>
            </w:r>
            <w:bookmarkStart w:id="918" w:name="XBRL_CE_25464ff0a70b4bdd8ab47cb55845f2a5"/>
            <w:bookmarkEnd w:id="917"/>
            <w:bookmarkEnd w:id="918"/>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19" w:name="XBRL_CS_abf1ba3799244396a15039c67db7e5e1"/>
            <w:bookmarkEnd w:id="919"/>
            <w:bookmarkStart w:id="920" w:name="abf1ba3799244396a15039c67db7e5e1"/>
            <w:r>
              <w:rPr>
                <w:rFonts w:ascii="Arial" w:eastAsia="Arial" w:hAnsi="Arial" w:cs="Arial"/>
                <w:b w:val="0"/>
                <w:i w:val="0"/>
                <w:strike w:val="0"/>
                <w:color w:val="000000"/>
                <w:sz w:val="13"/>
                <w:u w:val="none"/>
                <w:vertAlign w:val="baseline"/>
              </w:rPr>
              <w:t>-11</w:t>
            </w:r>
            <w:bookmarkStart w:id="921" w:name="XBRL_CE_abf1ba3799244396a15039c67db7e5e1"/>
            <w:bookmarkEnd w:id="920"/>
            <w:bookmarkEnd w:id="921"/>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22" w:name="XBRL_CS_679a074fe6fd42ff8b6a7a8db7921d96"/>
            <w:bookmarkEnd w:id="922"/>
            <w:bookmarkStart w:id="923" w:name="679a074fe6fd42ff8b6a7a8db7921d96"/>
            <w:r>
              <w:rPr>
                <w:rFonts w:ascii="Arial" w:eastAsia="Arial" w:hAnsi="Arial" w:cs="Arial"/>
                <w:b w:val="0"/>
                <w:i w:val="0"/>
                <w:strike w:val="0"/>
                <w:color w:val="000000"/>
                <w:sz w:val="13"/>
                <w:u w:val="none"/>
                <w:vertAlign w:val="baseline"/>
              </w:rPr>
              <w:t>-55</w:t>
            </w:r>
            <w:bookmarkStart w:id="924" w:name="XBRL_CE_679a074fe6fd42ff8b6a7a8db7921d96"/>
            <w:bookmarkEnd w:id="923"/>
            <w:bookmarkEnd w:id="924"/>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25" w:name="XBRL_CS_857a81921d994a67b3335d96bf8cb8a5"/>
            <w:bookmarkEnd w:id="925"/>
            <w:bookmarkStart w:id="926" w:name="857a81921d994a67b3335d96bf8cb8a5"/>
            <w:r>
              <w:rPr>
                <w:rFonts w:ascii="Arial" w:eastAsia="Arial" w:hAnsi="Arial" w:cs="Arial"/>
                <w:b w:val="0"/>
                <w:i w:val="0"/>
                <w:strike w:val="0"/>
                <w:color w:val="000000"/>
                <w:sz w:val="13"/>
                <w:u w:val="none"/>
                <w:vertAlign w:val="baseline"/>
              </w:rPr>
              <w:t>2,178</w:t>
            </w:r>
            <w:bookmarkStart w:id="927" w:name="XBRL_CE_857a81921d994a67b3335d96bf8cb8a5"/>
            <w:bookmarkEnd w:id="926"/>
            <w:bookmarkEnd w:id="927"/>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28" w:name="XBRL_CS_c7b4bdf64dcd40038cf35c488d493de2"/>
            <w:bookmarkEnd w:id="928"/>
            <w:bookmarkStart w:id="929" w:name="c7b4bdf64dcd40038cf35c488d493de2"/>
            <w:r>
              <w:rPr>
                <w:rFonts w:ascii="Arial" w:eastAsia="Arial" w:hAnsi="Arial" w:cs="Arial"/>
                <w:b w:val="0"/>
                <w:i w:val="0"/>
                <w:strike w:val="0"/>
                <w:color w:val="000000"/>
                <w:sz w:val="13"/>
                <w:u w:val="none"/>
                <w:vertAlign w:val="baseline"/>
              </w:rPr>
              <w:t>2,396</w:t>
            </w:r>
            <w:bookmarkStart w:id="930" w:name="XBRL_CE_c7b4bdf64dcd40038cf35c488d493de2"/>
            <w:bookmarkEnd w:id="929"/>
            <w:bookmarkEnd w:id="930"/>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31" w:name="XBRL_CS_fb7b7fa21831404aa559f82fed076fa1"/>
            <w:bookmarkEnd w:id="931"/>
            <w:bookmarkStart w:id="932" w:name="fb7b7fa21831404aa559f82fed076fa1"/>
            <w:r>
              <w:rPr>
                <w:rFonts w:ascii="Arial" w:eastAsia="Arial" w:hAnsi="Arial" w:cs="Arial"/>
                <w:b w:val="0"/>
                <w:i w:val="0"/>
                <w:strike w:val="0"/>
                <w:color w:val="000000"/>
                <w:sz w:val="13"/>
                <w:u w:val="none"/>
                <w:vertAlign w:val="baseline"/>
              </w:rPr>
              <w:t>14</w:t>
            </w:r>
            <w:bookmarkStart w:id="933" w:name="XBRL_CE_fb7b7fa21831404aa559f82fed076fa1"/>
            <w:bookmarkEnd w:id="932"/>
            <w:bookmarkEnd w:id="933"/>
          </w:p>
        </w:tc>
        <w:tc>
          <w:tcPr>
            <w:tcW w:w="105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bookmarkStart w:id="934" w:name="XBRL_CS_3a9792f42cbf44018a858cb8e357bf4f"/>
            <w:bookmarkEnd w:id="934"/>
            <w:bookmarkStart w:id="935" w:name="3a9792f42cbf44018a858cb8e357bf4f"/>
            <w:r>
              <w:rPr>
                <w:rFonts w:ascii="Arial" w:eastAsia="Arial" w:hAnsi="Arial" w:cs="Arial"/>
                <w:b w:val="0"/>
                <w:i w:val="0"/>
                <w:strike w:val="0"/>
                <w:color w:val="000000"/>
                <w:sz w:val="13"/>
                <w:u w:val="none"/>
                <w:vertAlign w:val="baseline"/>
              </w:rPr>
              <w:t>2,410</w:t>
            </w:r>
            <w:bookmarkStart w:id="936" w:name="XBRL_CE_3a9792f42cbf44018a858cb8e357bf4f"/>
            <w:bookmarkEnd w:id="935"/>
            <w:bookmarkEnd w:id="936"/>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single" w:sz="8" w:space="0" w:color="0F172B"/>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Frutiger 45 Light" w:eastAsia="Frutiger 45 Light" w:hAnsi="Frutiger 45 Light" w:cs="Frutiger 45 Light"/>
                <w:b w:val="0"/>
                <w:i w:val="0"/>
                <w:strike w:val="0"/>
                <w:color w:val="000000"/>
                <w:sz w:val="16"/>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8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FFFFFF"/>
                <w:sz w:val="13"/>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350" w:type="dxa"/>
            <w:gridSpan w:val="7"/>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equity attributable to equity holders of the parent company</w:t>
            </w:r>
          </w:p>
        </w:tc>
        <w:tc>
          <w:tcPr>
            <w:tcW w:w="105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controlling</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interests</w:t>
            </w:r>
          </w:p>
        </w:tc>
        <w:tc>
          <w:tcPr>
            <w:tcW w:w="105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Total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w:t>
            </w: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50"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Share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capital</w:t>
            </w:r>
          </w:p>
        </w:tc>
        <w:tc>
          <w:tcPr>
            <w:tcW w:w="1050"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Share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premium</w:t>
            </w:r>
          </w:p>
        </w:tc>
        <w:tc>
          <w:tcPr>
            <w:tcW w:w="1050"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Translation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difference</w:t>
            </w:r>
          </w:p>
        </w:tc>
        <w:tc>
          <w:tcPr>
            <w:tcW w:w="1050"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value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reserve</w:t>
            </w:r>
          </w:p>
        </w:tc>
        <w:tc>
          <w:tcPr>
            <w:tcW w:w="1050"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Remeas-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urements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defined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benefit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1050"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Retained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earnings</w:t>
            </w:r>
          </w:p>
        </w:tc>
        <w:tc>
          <w:tcPr>
            <w:tcW w:w="1050"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50" w:type="dxa"/>
            <w:tcBorders>
              <w:top w:val="single" w:sz="8" w:space="0" w:color="0F172B"/>
              <w:left w:val="nil"/>
              <w:bottom w:val="single" w:sz="8" w:space="0" w:color="0F172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 on 1 January 2020</w:t>
            </w:r>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37" w:name="XBRL_CS_ef3d0e4ad41b4f9c8b0d280e8a21d582"/>
            <w:bookmarkEnd w:id="937"/>
            <w:bookmarkStart w:id="938" w:name="ef3d0e4ad41b4f9c8b0d280e8a21d582"/>
            <w:r>
              <w:rPr>
                <w:rFonts w:ascii="Arial" w:eastAsia="Arial" w:hAnsi="Arial" w:cs="Arial"/>
                <w:b/>
                <w:i w:val="0"/>
                <w:strike w:val="0"/>
                <w:color w:val="000000"/>
                <w:sz w:val="13"/>
                <w:u w:val="none"/>
                <w:vertAlign w:val="baseline"/>
              </w:rPr>
              <w:t>336</w:t>
            </w:r>
            <w:bookmarkStart w:id="939" w:name="XBRL_CE_ef3d0e4ad41b4f9c8b0d280e8a21d582"/>
            <w:bookmarkEnd w:id="938"/>
            <w:bookmarkEnd w:id="939"/>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40" w:name="XBRL_CS_a4f30328f6784882ad48ef6e8b80f23b"/>
            <w:bookmarkEnd w:id="940"/>
            <w:bookmarkStart w:id="941" w:name="a4f30328f6784882ad48ef6e8b80f23b"/>
            <w:r>
              <w:rPr>
                <w:rFonts w:ascii="Arial" w:eastAsia="Arial" w:hAnsi="Arial" w:cs="Arial"/>
                <w:b/>
                <w:i w:val="0"/>
                <w:strike w:val="0"/>
                <w:color w:val="000000"/>
                <w:sz w:val="13"/>
                <w:u w:val="none"/>
                <w:vertAlign w:val="baseline"/>
              </w:rPr>
              <w:t>61</w:t>
            </w:r>
            <w:bookmarkStart w:id="942" w:name="XBRL_CE_a4f30328f6784882ad48ef6e8b80f23b"/>
            <w:bookmarkEnd w:id="941"/>
            <w:bookmarkEnd w:id="942"/>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43" w:name="XBRL_CS_5dd119ddffdc42f4b66bef09d220cf27"/>
            <w:bookmarkEnd w:id="943"/>
            <w:bookmarkStart w:id="944" w:name="5dd119ddffdc42f4b66bef09d220cf27"/>
            <w:r>
              <w:rPr>
                <w:rFonts w:ascii="Arial" w:eastAsia="Arial" w:hAnsi="Arial" w:cs="Arial"/>
                <w:b/>
                <w:i w:val="0"/>
                <w:strike w:val="0"/>
                <w:color w:val="000000"/>
                <w:sz w:val="13"/>
                <w:u w:val="none"/>
                <w:vertAlign w:val="baseline"/>
              </w:rPr>
              <w:t>-114</w:t>
            </w:r>
            <w:bookmarkStart w:id="945" w:name="XBRL_CE_5dd119ddffdc42f4b66bef09d220cf27"/>
            <w:bookmarkEnd w:id="944"/>
            <w:bookmarkEnd w:id="945"/>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46" w:name="XBRL_CS_fe55c8e8b2114b3794d940568ed01739"/>
            <w:bookmarkEnd w:id="946"/>
            <w:bookmarkStart w:id="947" w:name="fe55c8e8b2114b3794d940568ed01739"/>
            <w:r>
              <w:rPr>
                <w:rFonts w:ascii="Arial" w:eastAsia="Arial" w:hAnsi="Arial" w:cs="Arial"/>
                <w:b/>
                <w:i w:val="0"/>
                <w:strike w:val="0"/>
                <w:color w:val="000000"/>
                <w:sz w:val="13"/>
                <w:u w:val="none"/>
                <w:vertAlign w:val="baseline"/>
              </w:rPr>
              <w:t>-11</w:t>
            </w:r>
            <w:bookmarkStart w:id="948" w:name="XBRL_CE_fe55c8e8b2114b3794d940568ed01739"/>
            <w:bookmarkEnd w:id="947"/>
            <w:bookmarkEnd w:id="948"/>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49" w:name="XBRL_CS_723a7a4d1c574a12b38c35e3d95fcd96"/>
            <w:bookmarkEnd w:id="949"/>
            <w:bookmarkStart w:id="950" w:name="723a7a4d1c574a12b38c35e3d95fcd96"/>
            <w:r>
              <w:rPr>
                <w:rFonts w:ascii="Arial" w:eastAsia="Arial" w:hAnsi="Arial" w:cs="Arial"/>
                <w:b/>
                <w:i w:val="0"/>
                <w:strike w:val="0"/>
                <w:color w:val="000000"/>
                <w:sz w:val="13"/>
                <w:u w:val="none"/>
                <w:vertAlign w:val="baseline"/>
              </w:rPr>
              <w:t>-55</w:t>
            </w:r>
            <w:bookmarkStart w:id="951" w:name="XBRL_CE_723a7a4d1c574a12b38c35e3d95fcd96"/>
            <w:bookmarkEnd w:id="950"/>
            <w:bookmarkEnd w:id="951"/>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52" w:name="XBRL_CS_9240134d741744cdb14790190e05dcc1"/>
            <w:bookmarkEnd w:id="952"/>
            <w:bookmarkStart w:id="953" w:name="9240134d741744cdb14790190e05dcc1"/>
            <w:r>
              <w:rPr>
                <w:rFonts w:ascii="Arial" w:eastAsia="Arial" w:hAnsi="Arial" w:cs="Arial"/>
                <w:b/>
                <w:i w:val="0"/>
                <w:strike w:val="0"/>
                <w:color w:val="000000"/>
                <w:sz w:val="13"/>
                <w:u w:val="none"/>
                <w:vertAlign w:val="baseline"/>
              </w:rPr>
              <w:t>2,178</w:t>
            </w:r>
            <w:bookmarkStart w:id="954" w:name="XBRL_CE_9240134d741744cdb14790190e05dcc1"/>
            <w:bookmarkEnd w:id="953"/>
            <w:bookmarkEnd w:id="954"/>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55" w:name="XBRL_CS_8649ddab17c3478eb878999568c44b58"/>
            <w:bookmarkEnd w:id="955"/>
            <w:bookmarkStart w:id="956" w:name="8649ddab17c3478eb878999568c44b58"/>
            <w:r>
              <w:rPr>
                <w:rFonts w:ascii="Arial" w:eastAsia="Arial" w:hAnsi="Arial" w:cs="Arial"/>
                <w:b/>
                <w:i w:val="0"/>
                <w:strike w:val="0"/>
                <w:color w:val="000000"/>
                <w:sz w:val="13"/>
                <w:u w:val="none"/>
                <w:vertAlign w:val="baseline"/>
              </w:rPr>
              <w:t>2,396</w:t>
            </w:r>
            <w:bookmarkStart w:id="957" w:name="XBRL_CE_8649ddab17c3478eb878999568c44b58"/>
            <w:bookmarkEnd w:id="956"/>
            <w:bookmarkEnd w:id="957"/>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58" w:name="XBRL_CS_b8e71c478fae4108ae37c2baa3a8724d"/>
            <w:bookmarkEnd w:id="958"/>
            <w:bookmarkStart w:id="959" w:name="b8e71c478fae4108ae37c2baa3a8724d"/>
            <w:r>
              <w:rPr>
                <w:rFonts w:ascii="Arial" w:eastAsia="Arial" w:hAnsi="Arial" w:cs="Arial"/>
                <w:b/>
                <w:i w:val="0"/>
                <w:strike w:val="0"/>
                <w:color w:val="000000"/>
                <w:sz w:val="13"/>
                <w:u w:val="none"/>
                <w:vertAlign w:val="baseline"/>
              </w:rPr>
              <w:t>14</w:t>
            </w:r>
            <w:bookmarkStart w:id="960" w:name="XBRL_CE_b8e71c478fae4108ae37c2baa3a8724d"/>
            <w:bookmarkEnd w:id="959"/>
            <w:bookmarkEnd w:id="960"/>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61" w:name="XBRL_CS_c55afa5c9b86450287723986d530235d"/>
            <w:bookmarkEnd w:id="961"/>
            <w:bookmarkStart w:id="962" w:name="c55afa5c9b86450287723986d530235d"/>
            <w:r>
              <w:rPr>
                <w:rFonts w:ascii="Arial" w:eastAsia="Arial" w:hAnsi="Arial" w:cs="Arial"/>
                <w:b/>
                <w:i w:val="0"/>
                <w:strike w:val="0"/>
                <w:color w:val="000000"/>
                <w:sz w:val="13"/>
                <w:u w:val="none"/>
                <w:vertAlign w:val="baseline"/>
              </w:rPr>
              <w:t>2,410</w:t>
            </w:r>
            <w:bookmarkStart w:id="963" w:name="XBRL_CE_c55afa5c9b86450287723986d530235d"/>
            <w:bookmarkEnd w:id="962"/>
            <w:bookmarkEnd w:id="963"/>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Translation differences</w:t>
            </w: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64" w:name="XBRL_CS_3d76ee263a0d4138be597d6523934903"/>
            <w:bookmarkEnd w:id="964"/>
            <w:bookmarkStart w:id="965" w:name="3d76ee263a0d4138be597d6523934903"/>
            <w:r>
              <w:rPr>
                <w:rFonts w:ascii="Arial" w:eastAsia="Arial" w:hAnsi="Arial" w:cs="Arial"/>
                <w:b/>
                <w:i w:val="0"/>
                <w:strike w:val="0"/>
                <w:color w:val="000000"/>
                <w:sz w:val="13"/>
                <w:u w:val="none"/>
                <w:vertAlign w:val="baseline"/>
              </w:rPr>
              <w:t>-76</w:t>
            </w:r>
            <w:bookmarkStart w:id="966" w:name="XBRL_CE_3d76ee263a0d4138be597d6523934903"/>
            <w:bookmarkEnd w:id="965"/>
            <w:bookmarkEnd w:id="966"/>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67" w:name="XBRL_CS_901a8fcd451f4b65ada44ac9eb564874"/>
            <w:bookmarkEnd w:id="967"/>
            <w:bookmarkStart w:id="968" w:name="901a8fcd451f4b65ada44ac9eb564874"/>
            <w:r>
              <w:rPr>
                <w:rFonts w:ascii="Arial" w:eastAsia="Arial" w:hAnsi="Arial" w:cs="Arial"/>
                <w:b/>
                <w:i w:val="0"/>
                <w:strike w:val="0"/>
                <w:color w:val="000000"/>
                <w:sz w:val="13"/>
                <w:u w:val="none"/>
                <w:vertAlign w:val="baseline"/>
              </w:rPr>
              <w:t>-76</w:t>
            </w:r>
            <w:bookmarkStart w:id="969" w:name="XBRL_CE_901a8fcd451f4b65ada44ac9eb564874"/>
            <w:bookmarkEnd w:id="968"/>
            <w:bookmarkEnd w:id="969"/>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70" w:name="XBRL_CS_1f45cda8c7ab4059bd6b6e8e3fca4372"/>
            <w:bookmarkEnd w:id="970"/>
            <w:bookmarkStart w:id="971" w:name="1f45cda8c7ab4059bd6b6e8e3fca4372"/>
            <w:r>
              <w:rPr>
                <w:rFonts w:ascii="Arial" w:eastAsia="Arial" w:hAnsi="Arial" w:cs="Arial"/>
                <w:b/>
                <w:i w:val="0"/>
                <w:strike w:val="0"/>
                <w:color w:val="000000"/>
                <w:sz w:val="13"/>
                <w:u w:val="none"/>
                <w:vertAlign w:val="baseline"/>
              </w:rPr>
              <w:t>-1</w:t>
            </w:r>
            <w:bookmarkStart w:id="972" w:name="XBRL_CE_1f45cda8c7ab4059bd6b6e8e3fca4372"/>
            <w:bookmarkEnd w:id="971"/>
            <w:bookmarkEnd w:id="972"/>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73" w:name="XBRL_CS_25ef701379ab46299f3b215345de9a49"/>
            <w:bookmarkEnd w:id="973"/>
            <w:bookmarkStart w:id="974" w:name="25ef701379ab46299f3b215345de9a49"/>
            <w:r>
              <w:rPr>
                <w:rFonts w:ascii="Arial" w:eastAsia="Arial" w:hAnsi="Arial" w:cs="Arial"/>
                <w:b/>
                <w:i w:val="0"/>
                <w:strike w:val="0"/>
                <w:color w:val="000000"/>
                <w:sz w:val="13"/>
                <w:u w:val="none"/>
                <w:vertAlign w:val="baseline"/>
              </w:rPr>
              <w:t>-77</w:t>
            </w:r>
            <w:bookmarkStart w:id="975" w:name="XBRL_CE_25ef701379ab46299f3b215345de9a49"/>
            <w:bookmarkEnd w:id="974"/>
            <w:bookmarkEnd w:id="975"/>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Translation differences, transferred to statement of income</w:t>
            </w: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76" w:name="XBRL_CS_9de0adcbcb2c416fa4ed5d19754dbef0"/>
            <w:bookmarkEnd w:id="976"/>
            <w:bookmarkStart w:id="977" w:name="9de0adcbcb2c416fa4ed5d19754dbef0"/>
            <w:r>
              <w:rPr>
                <w:rFonts w:ascii="Arial" w:eastAsia="Arial" w:hAnsi="Arial" w:cs="Arial"/>
                <w:b/>
                <w:i w:val="0"/>
                <w:strike w:val="0"/>
                <w:color w:val="000000"/>
                <w:sz w:val="13"/>
                <w:u w:val="none"/>
                <w:vertAlign w:val="baseline"/>
              </w:rPr>
              <w:t>-6</w:t>
            </w:r>
            <w:bookmarkStart w:id="978" w:name="XBRL_CE_9de0adcbcb2c416fa4ed5d19754dbef0"/>
            <w:bookmarkEnd w:id="977"/>
            <w:bookmarkEnd w:id="978"/>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79" w:name="XBRL_CS_00a5390f1e1d41ea8a9e0a7abfbd7c5d"/>
            <w:bookmarkEnd w:id="979"/>
            <w:bookmarkStart w:id="980" w:name="00a5390f1e1d41ea8a9e0a7abfbd7c5d"/>
            <w:r>
              <w:rPr>
                <w:rFonts w:ascii="Arial" w:eastAsia="Arial" w:hAnsi="Arial" w:cs="Arial"/>
                <w:b/>
                <w:i w:val="0"/>
                <w:strike w:val="0"/>
                <w:color w:val="000000"/>
                <w:sz w:val="13"/>
                <w:u w:val="none"/>
                <w:vertAlign w:val="baseline"/>
              </w:rPr>
              <w:t>-6</w:t>
            </w:r>
            <w:bookmarkStart w:id="981" w:name="XBRL_CE_00a5390f1e1d41ea8a9e0a7abfbd7c5d"/>
            <w:bookmarkEnd w:id="980"/>
            <w:bookmarkEnd w:id="981"/>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82" w:name="XBRL_CS_89eb1cb81fff4345a97a15763a365918"/>
            <w:bookmarkEnd w:id="982"/>
            <w:bookmarkStart w:id="983" w:name="89eb1cb81fff4345a97a15763a365918"/>
            <w:r>
              <w:rPr>
                <w:rFonts w:ascii="Arial" w:eastAsia="Arial" w:hAnsi="Arial" w:cs="Arial"/>
                <w:b/>
                <w:i w:val="0"/>
                <w:strike w:val="0"/>
                <w:color w:val="000000"/>
                <w:sz w:val="13"/>
                <w:u w:val="none"/>
                <w:vertAlign w:val="baseline"/>
              </w:rPr>
              <w:t>-6</w:t>
            </w:r>
            <w:bookmarkStart w:id="984" w:name="XBRL_CE_89eb1cb81fff4345a97a15763a365918"/>
            <w:bookmarkEnd w:id="983"/>
            <w:bookmarkEnd w:id="984"/>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hedges</w:t>
            </w: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net change in fair value, net of taxes</w:t>
            </w: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85" w:name="XBRL_CS_335baae6d453451785a307cf6fb0a41d"/>
            <w:bookmarkEnd w:id="985"/>
            <w:bookmarkStart w:id="986" w:name="335baae6d453451785a307cf6fb0a41d"/>
            <w:r>
              <w:rPr>
                <w:rFonts w:ascii="Arial" w:eastAsia="Arial" w:hAnsi="Arial" w:cs="Arial"/>
                <w:b/>
                <w:i w:val="0"/>
                <w:strike w:val="0"/>
                <w:color w:val="000000"/>
                <w:sz w:val="13"/>
                <w:u w:val="none"/>
                <w:vertAlign w:val="baseline"/>
              </w:rPr>
              <w:t>-3</w:t>
            </w:r>
            <w:bookmarkStart w:id="987" w:name="XBRL_CE_335baae6d453451785a307cf6fb0a41d"/>
            <w:bookmarkEnd w:id="986"/>
            <w:bookmarkEnd w:id="987"/>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88" w:name="XBRL_CS_b1e05e70ff654fa3bd5ecd3d2aea3a5b"/>
            <w:bookmarkEnd w:id="988"/>
            <w:bookmarkStart w:id="989" w:name="b1e05e70ff654fa3bd5ecd3d2aea3a5b"/>
            <w:r>
              <w:rPr>
                <w:rFonts w:ascii="Arial" w:eastAsia="Arial" w:hAnsi="Arial" w:cs="Arial"/>
                <w:b/>
                <w:i w:val="0"/>
                <w:strike w:val="0"/>
                <w:color w:val="000000"/>
                <w:sz w:val="13"/>
                <w:u w:val="none"/>
                <w:vertAlign w:val="baseline"/>
              </w:rPr>
              <w:t>-3</w:t>
            </w:r>
            <w:bookmarkStart w:id="990" w:name="XBRL_CE_b1e05e70ff654fa3bd5ecd3d2aea3a5b"/>
            <w:bookmarkEnd w:id="989"/>
            <w:bookmarkEnd w:id="990"/>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91" w:name="XBRL_CS_83c37cca77c34a38a5dade1dbb6f5770"/>
            <w:bookmarkEnd w:id="991"/>
            <w:bookmarkStart w:id="992" w:name="83c37cca77c34a38a5dade1dbb6f5770"/>
            <w:r>
              <w:rPr>
                <w:rFonts w:ascii="Arial" w:eastAsia="Arial" w:hAnsi="Arial" w:cs="Arial"/>
                <w:b/>
                <w:i w:val="0"/>
                <w:strike w:val="0"/>
                <w:color w:val="000000"/>
                <w:sz w:val="13"/>
                <w:u w:val="none"/>
                <w:vertAlign w:val="baseline"/>
              </w:rPr>
              <w:t>-3</w:t>
            </w:r>
            <w:bookmarkStart w:id="993" w:name="XBRL_CE_83c37cca77c34a38a5dade1dbb6f5770"/>
            <w:bookmarkEnd w:id="992"/>
            <w:bookmarkEnd w:id="993"/>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175"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transferred to the statement of income, net of taxes</w:t>
            </w: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94" w:name="XBRL_CS_e96387257a274b3b869c16c5cd5d27a0"/>
            <w:bookmarkEnd w:id="994"/>
            <w:bookmarkStart w:id="995" w:name="e96387257a274b3b869c16c5cd5d27a0"/>
            <w:r>
              <w:rPr>
                <w:rFonts w:ascii="Arial" w:eastAsia="Arial" w:hAnsi="Arial" w:cs="Arial"/>
                <w:b/>
                <w:i w:val="0"/>
                <w:strike w:val="0"/>
                <w:color w:val="000000"/>
                <w:sz w:val="13"/>
                <w:u w:val="none"/>
                <w:vertAlign w:val="baseline"/>
              </w:rPr>
              <w:t>5</w:t>
            </w:r>
            <w:bookmarkStart w:id="996" w:name="XBRL_CE_e96387257a274b3b869c16c5cd5d27a0"/>
            <w:bookmarkEnd w:id="995"/>
            <w:bookmarkEnd w:id="996"/>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997" w:name="XBRL_CS_8b577153b5e4424ca28c3c7389049a8c"/>
            <w:bookmarkEnd w:id="997"/>
            <w:bookmarkStart w:id="998" w:name="8b577153b5e4424ca28c3c7389049a8c"/>
            <w:bookmarkStart w:id="999" w:name="XBRL_CS_80e68fff7c4642a6982dc75fb6d37c21"/>
            <w:bookmarkEnd w:id="999"/>
            <w:bookmarkStart w:id="1000" w:name="80e68fff7c4642a6982dc75fb6d37c21"/>
            <w:r>
              <w:rPr>
                <w:rFonts w:ascii="Arial" w:eastAsia="Arial" w:hAnsi="Arial" w:cs="Arial"/>
                <w:b/>
                <w:i w:val="0"/>
                <w:strike w:val="0"/>
                <w:color w:val="000000"/>
                <w:sz w:val="13"/>
                <w:u w:val="none"/>
                <w:vertAlign w:val="baseline"/>
              </w:rPr>
              <w:t>5</w:t>
            </w:r>
            <w:bookmarkStart w:id="1001" w:name="XBRL_CE_80e68fff7c4642a6982dc75fb6d37c21"/>
            <w:bookmarkEnd w:id="1000"/>
            <w:bookmarkEnd w:id="1001"/>
            <w:bookmarkStart w:id="1002" w:name="XBRL_CE_8b577153b5e4424ca28c3c7389049a8c"/>
            <w:bookmarkEnd w:id="998"/>
            <w:bookmarkEnd w:id="1002"/>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03" w:name="XBRL_CS_bdc586be78b64cddafe3fb892e176c1f"/>
            <w:bookmarkEnd w:id="1003"/>
            <w:bookmarkStart w:id="1004" w:name="bdc586be78b64cddafe3fb892e176c1f"/>
            <w:r>
              <w:rPr>
                <w:rFonts w:ascii="Arial" w:eastAsia="Arial" w:hAnsi="Arial" w:cs="Arial"/>
                <w:b/>
                <w:i w:val="0"/>
                <w:strike w:val="0"/>
                <w:color w:val="000000"/>
                <w:sz w:val="13"/>
                <w:u w:val="none"/>
                <w:vertAlign w:val="baseline"/>
              </w:rPr>
              <w:t>5</w:t>
            </w:r>
            <w:bookmarkStart w:id="1005" w:name="XBRL_CE_bdc586be78b64cddafe3fb892e176c1f"/>
            <w:bookmarkEnd w:id="1004"/>
            <w:bookmarkEnd w:id="1005"/>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Defined benefit plans</w:t>
            </w: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06" w:name="XBRL_CS_cff42e442eac4f04a3011333560ae04e"/>
            <w:bookmarkEnd w:id="1006"/>
            <w:bookmarkStart w:id="1007" w:name="cff42e442eac4f04a3011333560ae04e"/>
            <w:r>
              <w:rPr>
                <w:rFonts w:ascii="Arial" w:eastAsia="Arial" w:hAnsi="Arial" w:cs="Arial"/>
                <w:b/>
                <w:i w:val="0"/>
                <w:strike w:val="0"/>
                <w:color w:val="000000"/>
                <w:sz w:val="13"/>
                <w:u w:val="none"/>
                <w:vertAlign w:val="baseline"/>
              </w:rPr>
              <w:t>5</w:t>
            </w:r>
            <w:bookmarkStart w:id="1008" w:name="XBRL_CE_cff42e442eac4f04a3011333560ae04e"/>
            <w:bookmarkEnd w:id="1007"/>
            <w:bookmarkEnd w:id="1008"/>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09" w:name="XBRL_CS_39d6470856e848b48873da0923e5f35b"/>
            <w:bookmarkEnd w:id="1009"/>
            <w:bookmarkStart w:id="1010" w:name="39d6470856e848b48873da0923e5f35b"/>
            <w:r>
              <w:rPr>
                <w:rFonts w:ascii="Arial" w:eastAsia="Arial" w:hAnsi="Arial" w:cs="Arial"/>
                <w:b/>
                <w:i w:val="0"/>
                <w:strike w:val="0"/>
                <w:color w:val="000000"/>
                <w:sz w:val="13"/>
                <w:u w:val="none"/>
                <w:vertAlign w:val="baseline"/>
              </w:rPr>
              <w:t>5</w:t>
            </w:r>
            <w:bookmarkStart w:id="1011" w:name="XBRL_CE_39d6470856e848b48873da0923e5f35b"/>
            <w:bookmarkEnd w:id="1010"/>
            <w:bookmarkEnd w:id="1011"/>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12" w:name="XBRL_CS_bd05cd8a77014822a2456387cac5a032"/>
            <w:bookmarkEnd w:id="1012"/>
            <w:bookmarkStart w:id="1013" w:name="bd05cd8a77014822a2456387cac5a032"/>
            <w:r>
              <w:rPr>
                <w:rFonts w:ascii="Arial" w:eastAsia="Arial" w:hAnsi="Arial" w:cs="Arial"/>
                <w:b/>
                <w:i w:val="0"/>
                <w:strike w:val="0"/>
                <w:color w:val="000000"/>
                <w:sz w:val="13"/>
                <w:u w:val="none"/>
                <w:vertAlign w:val="baseline"/>
              </w:rPr>
              <w:t>5</w:t>
            </w:r>
            <w:bookmarkStart w:id="1014" w:name="XBRL_CE_bd05cd8a77014822a2456387cac5a032"/>
            <w:bookmarkEnd w:id="1013"/>
            <w:bookmarkEnd w:id="1014"/>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changes</w:t>
            </w: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15" w:name="XBRL_CS_285436fe9e534019bb3a20b04add0bfb"/>
            <w:bookmarkEnd w:id="1015"/>
            <w:bookmarkStart w:id="1016" w:name="285436fe9e534019bb3a20b04add0bfb"/>
            <w:r>
              <w:rPr>
                <w:rFonts w:ascii="Arial" w:eastAsia="Arial" w:hAnsi="Arial" w:cs="Arial"/>
                <w:b/>
                <w:i w:val="0"/>
                <w:strike w:val="0"/>
                <w:color w:val="000000"/>
                <w:sz w:val="13"/>
                <w:u w:val="none"/>
                <w:vertAlign w:val="baseline"/>
              </w:rPr>
              <w:t>5</w:t>
            </w:r>
            <w:bookmarkStart w:id="1017" w:name="XBRL_CE_285436fe9e534019bb3a20b04add0bfb"/>
            <w:bookmarkEnd w:id="1016"/>
            <w:bookmarkEnd w:id="1017"/>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18" w:name="XBRL_CS_5fdcb3f67b984eaca3c29c11b7b21edd"/>
            <w:bookmarkEnd w:id="1018"/>
            <w:bookmarkStart w:id="1019" w:name="5fdcb3f67b984eaca3c29c11b7b21edd"/>
            <w:r>
              <w:rPr>
                <w:rFonts w:ascii="Arial" w:eastAsia="Arial" w:hAnsi="Arial" w:cs="Arial"/>
                <w:b/>
                <w:i w:val="0"/>
                <w:strike w:val="0"/>
                <w:color w:val="000000"/>
                <w:sz w:val="13"/>
                <w:u w:val="none"/>
                <w:vertAlign w:val="baseline"/>
              </w:rPr>
              <w:t>-5</w:t>
            </w:r>
            <w:bookmarkStart w:id="1020" w:name="XBRL_CE_5fdcb3f67b984eaca3c29c11b7b21edd"/>
            <w:bookmarkEnd w:id="1019"/>
            <w:bookmarkEnd w:id="1020"/>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 comprehensive income</w:t>
            </w: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21" w:name="XBRL_CS_5634e8d34cab48d7b7cd14689e0035a1"/>
            <w:bookmarkEnd w:id="1021"/>
            <w:bookmarkStart w:id="1022" w:name="5634e8d34cab48d7b7cd14689e0035a1"/>
            <w:r>
              <w:rPr>
                <w:rFonts w:ascii="Arial" w:eastAsia="Arial" w:hAnsi="Arial" w:cs="Arial"/>
                <w:b/>
                <w:i w:val="0"/>
                <w:strike w:val="0"/>
                <w:color w:val="000000"/>
                <w:sz w:val="13"/>
                <w:u w:val="none"/>
                <w:vertAlign w:val="baseline"/>
              </w:rPr>
              <w:t>-82</w:t>
            </w:r>
            <w:bookmarkStart w:id="1023" w:name="XBRL_CE_5634e8d34cab48d7b7cd14689e0035a1"/>
            <w:bookmarkEnd w:id="1022"/>
            <w:bookmarkEnd w:id="1023"/>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24" w:name="XBRL_CS_79884c1c95c54ff683145905de77bd07"/>
            <w:bookmarkEnd w:id="1024"/>
            <w:bookmarkStart w:id="1025" w:name="79884c1c95c54ff683145905de77bd07"/>
            <w:r>
              <w:rPr>
                <w:rFonts w:ascii="Arial" w:eastAsia="Arial" w:hAnsi="Arial" w:cs="Arial"/>
                <w:b/>
                <w:i w:val="0"/>
                <w:strike w:val="0"/>
                <w:color w:val="000000"/>
                <w:sz w:val="13"/>
                <w:u w:val="none"/>
                <w:vertAlign w:val="baseline"/>
              </w:rPr>
              <w:t>2</w:t>
            </w:r>
            <w:bookmarkStart w:id="1026" w:name="XBRL_CE_79884c1c95c54ff683145905de77bd07"/>
            <w:bookmarkEnd w:id="1025"/>
            <w:bookmarkEnd w:id="1026"/>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27" w:name="XBRL_CS_bdafaf1cdc9a4057bbf5c8fc4b72a3b8"/>
            <w:bookmarkEnd w:id="1027"/>
            <w:bookmarkStart w:id="1028" w:name="bdafaf1cdc9a4057bbf5c8fc4b72a3b8"/>
            <w:r>
              <w:rPr>
                <w:rFonts w:ascii="Arial" w:eastAsia="Arial" w:hAnsi="Arial" w:cs="Arial"/>
                <w:b/>
                <w:i w:val="0"/>
                <w:strike w:val="0"/>
                <w:color w:val="000000"/>
                <w:sz w:val="13"/>
                <w:u w:val="none"/>
                <w:vertAlign w:val="baseline"/>
              </w:rPr>
              <w:t>10</w:t>
            </w:r>
            <w:bookmarkStart w:id="1029" w:name="XBRL_CE_bdafaf1cdc9a4057bbf5c8fc4b72a3b8"/>
            <w:bookmarkEnd w:id="1028"/>
            <w:bookmarkEnd w:id="1029"/>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30" w:name="XBRL_CS_fa7a29b3bd3f46f69727a6627851e46d"/>
            <w:bookmarkEnd w:id="1030"/>
            <w:bookmarkStart w:id="1031" w:name="fa7a29b3bd3f46f69727a6627851e46d"/>
            <w:r>
              <w:rPr>
                <w:rFonts w:ascii="Arial" w:eastAsia="Arial" w:hAnsi="Arial" w:cs="Arial"/>
                <w:b/>
                <w:i w:val="0"/>
                <w:strike w:val="0"/>
                <w:color w:val="000000"/>
                <w:sz w:val="13"/>
                <w:u w:val="none"/>
                <w:vertAlign w:val="baseline"/>
              </w:rPr>
              <w:t>-5</w:t>
            </w:r>
            <w:bookmarkStart w:id="1032" w:name="XBRL_CE_fa7a29b3bd3f46f69727a6627851e46d"/>
            <w:bookmarkEnd w:id="1031"/>
            <w:bookmarkEnd w:id="1032"/>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33" w:name="XBRL_CS_db0a7f114e9547a68ec7393522b5b4d8"/>
            <w:bookmarkEnd w:id="1033"/>
            <w:bookmarkStart w:id="1034" w:name="db0a7f114e9547a68ec7393522b5b4d8"/>
            <w:r>
              <w:rPr>
                <w:rFonts w:ascii="Arial" w:eastAsia="Arial" w:hAnsi="Arial" w:cs="Arial"/>
                <w:b/>
                <w:i w:val="0"/>
                <w:strike w:val="0"/>
                <w:color w:val="000000"/>
                <w:sz w:val="13"/>
                <w:u w:val="none"/>
                <w:vertAlign w:val="baseline"/>
              </w:rPr>
              <w:t>-75</w:t>
            </w:r>
            <w:bookmarkStart w:id="1035" w:name="XBRL_CE_db0a7f114e9547a68ec7393522b5b4d8"/>
            <w:bookmarkEnd w:id="1034"/>
            <w:bookmarkEnd w:id="1035"/>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36" w:name="XBRL_CS_e62fab6da8c14ce2804119ecf0bfdd5b"/>
            <w:bookmarkEnd w:id="1036"/>
            <w:bookmarkStart w:id="1037" w:name="e62fab6da8c14ce2804119ecf0bfdd5b"/>
            <w:r>
              <w:rPr>
                <w:rFonts w:ascii="Arial" w:eastAsia="Arial" w:hAnsi="Arial" w:cs="Arial"/>
                <w:b/>
                <w:i w:val="0"/>
                <w:strike w:val="0"/>
                <w:color w:val="000000"/>
                <w:sz w:val="13"/>
                <w:u w:val="none"/>
                <w:vertAlign w:val="baseline"/>
              </w:rPr>
              <w:t>-1</w:t>
            </w:r>
            <w:bookmarkStart w:id="1038" w:name="XBRL_CE_e62fab6da8c14ce2804119ecf0bfdd5b"/>
            <w:bookmarkEnd w:id="1037"/>
            <w:bookmarkEnd w:id="1038"/>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39" w:name="XBRL_CS_2a7ddd5421944443a8d9fa069dbea485"/>
            <w:bookmarkEnd w:id="1039"/>
            <w:bookmarkStart w:id="1040" w:name="2a7ddd5421944443a8d9fa069dbea485"/>
            <w:r>
              <w:rPr>
                <w:rFonts w:ascii="Arial" w:eastAsia="Arial" w:hAnsi="Arial" w:cs="Arial"/>
                <w:b/>
                <w:i w:val="0"/>
                <w:strike w:val="0"/>
                <w:color w:val="000000"/>
                <w:sz w:val="13"/>
                <w:u w:val="none"/>
                <w:vertAlign w:val="baseline"/>
              </w:rPr>
              <w:t>-76</w:t>
            </w:r>
            <w:bookmarkStart w:id="1041" w:name="XBRL_CE_2a7ddd5421944443a8d9fa069dbea485"/>
            <w:bookmarkEnd w:id="1040"/>
            <w:bookmarkEnd w:id="1041"/>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for the financial period</w:t>
            </w: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42" w:name="XBRL_CS_3d97c683f899483e9ac6e0b797e71776"/>
            <w:bookmarkEnd w:id="1042"/>
            <w:bookmarkStart w:id="1043" w:name="3d97c683f899483e9ac6e0b797e71776"/>
            <w:r>
              <w:rPr>
                <w:rFonts w:ascii="Arial" w:eastAsia="Arial" w:hAnsi="Arial" w:cs="Arial"/>
                <w:b/>
                <w:i w:val="0"/>
                <w:strike w:val="0"/>
                <w:color w:val="000000"/>
                <w:sz w:val="13"/>
                <w:u w:val="none"/>
                <w:vertAlign w:val="baseline"/>
              </w:rPr>
              <w:t>134</w:t>
            </w:r>
            <w:bookmarkStart w:id="1044" w:name="XBRL_CE_3d97c683f899483e9ac6e0b797e71776"/>
            <w:bookmarkEnd w:id="1043"/>
            <w:bookmarkEnd w:id="1044"/>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45" w:name="XBRL_CS_8982c7d8107941dc8bd3819a41dbe4ad"/>
            <w:bookmarkEnd w:id="1045"/>
            <w:bookmarkStart w:id="1046" w:name="8982c7d8107941dc8bd3819a41dbe4ad"/>
            <w:r>
              <w:rPr>
                <w:rFonts w:ascii="Arial" w:eastAsia="Arial" w:hAnsi="Arial" w:cs="Arial"/>
                <w:b/>
                <w:i w:val="0"/>
                <w:strike w:val="0"/>
                <w:color w:val="000000"/>
                <w:sz w:val="13"/>
                <w:u w:val="none"/>
                <w:vertAlign w:val="baseline"/>
              </w:rPr>
              <w:t>134</w:t>
            </w:r>
            <w:bookmarkStart w:id="1047" w:name="XBRL_CE_8982c7d8107941dc8bd3819a41dbe4ad"/>
            <w:bookmarkEnd w:id="1046"/>
            <w:bookmarkEnd w:id="1047"/>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48" w:name="XBRL_CS_0cf4e1f057114bcfa3d8b60a6f0da123"/>
            <w:bookmarkEnd w:id="1048"/>
            <w:bookmarkStart w:id="1049" w:name="0cf4e1f057114bcfa3d8b60a6f0da123"/>
            <w:r>
              <w:rPr>
                <w:rFonts w:ascii="Arial" w:eastAsia="Arial" w:hAnsi="Arial" w:cs="Arial"/>
                <w:b/>
                <w:i w:val="0"/>
                <w:strike w:val="0"/>
                <w:color w:val="000000"/>
                <w:sz w:val="13"/>
                <w:u w:val="none"/>
                <w:vertAlign w:val="baseline"/>
              </w:rPr>
              <w:t>-1</w:t>
            </w:r>
            <w:bookmarkStart w:id="1050" w:name="XBRL_CE_0cf4e1f057114bcfa3d8b60a6f0da123"/>
            <w:bookmarkEnd w:id="1049"/>
            <w:bookmarkEnd w:id="1050"/>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51" w:name="XBRL_CS_285183ce13784b468f140c6264de7295"/>
            <w:bookmarkEnd w:id="1051"/>
            <w:bookmarkStart w:id="1052" w:name="285183ce13784b468f140c6264de7295"/>
            <w:r>
              <w:rPr>
                <w:rFonts w:ascii="Arial" w:eastAsia="Arial" w:hAnsi="Arial" w:cs="Arial"/>
                <w:b/>
                <w:i w:val="0"/>
                <w:strike w:val="0"/>
                <w:color w:val="000000"/>
                <w:sz w:val="13"/>
                <w:u w:val="none"/>
                <w:vertAlign w:val="baseline"/>
              </w:rPr>
              <w:t>133</w:t>
            </w:r>
            <w:bookmarkStart w:id="1053" w:name="XBRL_CE_285183ce13784b468f140c6264de7295"/>
            <w:bookmarkEnd w:id="1052"/>
            <w:bookmarkEnd w:id="1053"/>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comprehensive income for the financial period</w:t>
            </w: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54" w:name="XBRL_CS_b43e9599ba3d49ea8fa3ca9abe28faa6"/>
            <w:bookmarkEnd w:id="1054"/>
            <w:bookmarkStart w:id="1055" w:name="b43e9599ba3d49ea8fa3ca9abe28faa6"/>
            <w:r>
              <w:rPr>
                <w:rFonts w:ascii="Arial" w:eastAsia="Arial" w:hAnsi="Arial" w:cs="Arial"/>
                <w:b/>
                <w:i w:val="0"/>
                <w:strike w:val="0"/>
                <w:color w:val="000000"/>
                <w:sz w:val="13"/>
                <w:u w:val="none"/>
                <w:vertAlign w:val="baseline"/>
              </w:rPr>
              <w:t>-82</w:t>
            </w:r>
            <w:bookmarkStart w:id="1056" w:name="XBRL_CE_b43e9599ba3d49ea8fa3ca9abe28faa6"/>
            <w:bookmarkEnd w:id="1055"/>
            <w:bookmarkEnd w:id="1056"/>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57" w:name="XBRL_CS_be13d9695d2c414d8e111171296d6e33"/>
            <w:bookmarkEnd w:id="1057"/>
            <w:bookmarkStart w:id="1058" w:name="be13d9695d2c414d8e111171296d6e33"/>
            <w:r>
              <w:rPr>
                <w:rFonts w:ascii="Arial" w:eastAsia="Arial" w:hAnsi="Arial" w:cs="Arial"/>
                <w:b/>
                <w:i w:val="0"/>
                <w:strike w:val="0"/>
                <w:color w:val="000000"/>
                <w:sz w:val="13"/>
                <w:u w:val="none"/>
                <w:vertAlign w:val="baseline"/>
              </w:rPr>
              <w:t>2</w:t>
            </w:r>
            <w:bookmarkStart w:id="1059" w:name="XBRL_CE_be13d9695d2c414d8e111171296d6e33"/>
            <w:bookmarkEnd w:id="1058"/>
            <w:bookmarkEnd w:id="1059"/>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60" w:name="XBRL_CS_f0b8be8347cd4b428d62aa8c5a8b3b69"/>
            <w:bookmarkEnd w:id="1060"/>
            <w:bookmarkStart w:id="1061" w:name="f0b8be8347cd4b428d62aa8c5a8b3b69"/>
            <w:r>
              <w:rPr>
                <w:rFonts w:ascii="Arial" w:eastAsia="Arial" w:hAnsi="Arial" w:cs="Arial"/>
                <w:b/>
                <w:i w:val="0"/>
                <w:strike w:val="0"/>
                <w:color w:val="000000"/>
                <w:sz w:val="13"/>
                <w:u w:val="none"/>
                <w:vertAlign w:val="baseline"/>
              </w:rPr>
              <w:t>10</w:t>
            </w:r>
            <w:bookmarkStart w:id="1062" w:name="XBRL_CE_f0b8be8347cd4b428d62aa8c5a8b3b69"/>
            <w:bookmarkEnd w:id="1061"/>
            <w:bookmarkEnd w:id="1062"/>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63" w:name="XBRL_CS_a45ecfcf348542fdbd25d35d3c44e8d1"/>
            <w:bookmarkEnd w:id="1063"/>
            <w:bookmarkStart w:id="1064" w:name="a45ecfcf348542fdbd25d35d3c44e8d1"/>
            <w:r>
              <w:rPr>
                <w:rFonts w:ascii="Arial" w:eastAsia="Arial" w:hAnsi="Arial" w:cs="Arial"/>
                <w:b/>
                <w:i w:val="0"/>
                <w:strike w:val="0"/>
                <w:color w:val="000000"/>
                <w:sz w:val="13"/>
                <w:u w:val="none"/>
                <w:vertAlign w:val="baseline"/>
              </w:rPr>
              <w:t>129</w:t>
            </w:r>
            <w:bookmarkStart w:id="1065" w:name="XBRL_CE_a45ecfcf348542fdbd25d35d3c44e8d1"/>
            <w:bookmarkEnd w:id="1064"/>
            <w:bookmarkEnd w:id="1065"/>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66" w:name="XBRL_CS_c6873a34aa93445ca0c461bc00bde6e6"/>
            <w:bookmarkEnd w:id="1066"/>
            <w:bookmarkStart w:id="1067" w:name="c6873a34aa93445ca0c461bc00bde6e6"/>
            <w:r>
              <w:rPr>
                <w:rFonts w:ascii="Arial" w:eastAsia="Arial" w:hAnsi="Arial" w:cs="Arial"/>
                <w:b/>
                <w:i w:val="0"/>
                <w:strike w:val="0"/>
                <w:color w:val="000000"/>
                <w:sz w:val="13"/>
                <w:u w:val="none"/>
                <w:vertAlign w:val="baseline"/>
              </w:rPr>
              <w:t>59</w:t>
            </w:r>
            <w:bookmarkStart w:id="1068" w:name="XBRL_CE_c6873a34aa93445ca0c461bc00bde6e6"/>
            <w:bookmarkEnd w:id="1067"/>
            <w:bookmarkEnd w:id="1068"/>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69" w:name="XBRL_CS_0f45c0315c8c40ed9022bb29171bea2b"/>
            <w:bookmarkEnd w:id="1069"/>
            <w:bookmarkStart w:id="1070" w:name="0f45c0315c8c40ed9022bb29171bea2b"/>
            <w:r>
              <w:rPr>
                <w:rFonts w:ascii="Arial" w:eastAsia="Arial" w:hAnsi="Arial" w:cs="Arial"/>
                <w:b/>
                <w:i w:val="0"/>
                <w:strike w:val="0"/>
                <w:color w:val="000000"/>
                <w:sz w:val="13"/>
                <w:u w:val="none"/>
                <w:vertAlign w:val="baseline"/>
              </w:rPr>
              <w:t>-1</w:t>
            </w:r>
            <w:bookmarkStart w:id="1071" w:name="XBRL_CE_0f45c0315c8c40ed9022bb29171bea2b"/>
            <w:bookmarkEnd w:id="1070"/>
            <w:bookmarkEnd w:id="1071"/>
          </w:p>
        </w:tc>
        <w:tc>
          <w:tcPr>
            <w:tcW w:w="105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72" w:name="XBRL_CS_cd652063c34a470889df6198c0a25f99"/>
            <w:bookmarkEnd w:id="1072"/>
            <w:bookmarkStart w:id="1073" w:name="cd652063c34a470889df6198c0a25f99"/>
            <w:r>
              <w:rPr>
                <w:rFonts w:ascii="Arial" w:eastAsia="Arial" w:hAnsi="Arial" w:cs="Arial"/>
                <w:b/>
                <w:i w:val="0"/>
                <w:strike w:val="0"/>
                <w:color w:val="000000"/>
                <w:sz w:val="13"/>
                <w:u w:val="none"/>
                <w:vertAlign w:val="baseline"/>
              </w:rPr>
              <w:t>57</w:t>
            </w:r>
            <w:bookmarkStart w:id="1074" w:name="XBRL_CE_cd652063c34a470889df6198c0a25f99"/>
            <w:bookmarkEnd w:id="1073"/>
            <w:bookmarkEnd w:id="1074"/>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Dividends paid</w:t>
            </w: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75" w:name="XBRL_CS_a38273d5b6774546b9aacfe8bda64e99"/>
            <w:bookmarkEnd w:id="1075"/>
            <w:bookmarkStart w:id="1076" w:name="a38273d5b6774546b9aacfe8bda64e99"/>
            <w:r>
              <w:rPr>
                <w:rFonts w:ascii="Arial" w:eastAsia="Arial" w:hAnsi="Arial" w:cs="Arial"/>
                <w:b/>
                <w:i w:val="0"/>
                <w:strike w:val="0"/>
                <w:color w:val="000000"/>
                <w:sz w:val="13"/>
                <w:u w:val="none"/>
                <w:vertAlign w:val="baseline"/>
              </w:rPr>
              <w:t>-284</w:t>
            </w:r>
            <w:bookmarkStart w:id="1077" w:name="XBRL_CE_a38273d5b6774546b9aacfe8bda64e99"/>
            <w:bookmarkEnd w:id="1076"/>
            <w:bookmarkEnd w:id="1077"/>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78" w:name="XBRL_CS_0038e841ca864f29b34fee84d78d5907"/>
            <w:bookmarkEnd w:id="1078"/>
            <w:bookmarkStart w:id="1079" w:name="0038e841ca864f29b34fee84d78d5907"/>
            <w:r>
              <w:rPr>
                <w:rFonts w:ascii="Arial" w:eastAsia="Arial" w:hAnsi="Arial" w:cs="Arial"/>
                <w:b/>
                <w:i w:val="0"/>
                <w:strike w:val="0"/>
                <w:color w:val="000000"/>
                <w:sz w:val="13"/>
                <w:u w:val="none"/>
                <w:vertAlign w:val="baseline"/>
              </w:rPr>
              <w:t>-284</w:t>
            </w:r>
            <w:bookmarkStart w:id="1080" w:name="XBRL_CE_0038e841ca864f29b34fee84d78d5907"/>
            <w:bookmarkEnd w:id="1079"/>
            <w:bookmarkEnd w:id="1080"/>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81" w:name="XBRL_CS_8467774f47af49beadd51b19827853a9"/>
            <w:bookmarkEnd w:id="1081"/>
            <w:bookmarkStart w:id="1082" w:name="8467774f47af49beadd51b19827853a9"/>
            <w:r>
              <w:rPr>
                <w:rFonts w:ascii="Arial" w:eastAsia="Arial" w:hAnsi="Arial" w:cs="Arial"/>
                <w:b/>
                <w:i w:val="0"/>
                <w:strike w:val="0"/>
                <w:color w:val="000000"/>
                <w:sz w:val="13"/>
                <w:u w:val="none"/>
                <w:vertAlign w:val="baseline"/>
              </w:rPr>
              <w:t>-2</w:t>
            </w:r>
            <w:bookmarkStart w:id="1083" w:name="XBRL_CE_8467774f47af49beadd51b19827853a9"/>
            <w:bookmarkEnd w:id="1082"/>
            <w:bookmarkEnd w:id="1083"/>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84" w:name="XBRL_CS_d090879798f74b068f0cba39d4c86c85"/>
            <w:bookmarkEnd w:id="1084"/>
            <w:bookmarkStart w:id="1085" w:name="d090879798f74b068f0cba39d4c86c85"/>
            <w:r>
              <w:rPr>
                <w:rFonts w:ascii="Arial" w:eastAsia="Arial" w:hAnsi="Arial" w:cs="Arial"/>
                <w:b/>
                <w:i w:val="0"/>
                <w:strike w:val="0"/>
                <w:color w:val="000000"/>
                <w:sz w:val="13"/>
                <w:u w:val="none"/>
                <w:vertAlign w:val="baseline"/>
              </w:rPr>
              <w:t>-286</w:t>
            </w:r>
            <w:bookmarkStart w:id="1086" w:name="XBRL_CE_d090879798f74b068f0cba39d4c86c85"/>
            <w:bookmarkEnd w:id="1085"/>
            <w:bookmarkEnd w:id="1086"/>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changes</w:t>
            </w: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87" w:name="XBRL_CS_fb2bc3ae8a414508ab39a9253c274a2b"/>
            <w:bookmarkEnd w:id="1087"/>
            <w:bookmarkStart w:id="1088" w:name="fb2bc3ae8a414508ab39a9253c274a2b"/>
            <w:r>
              <w:rPr>
                <w:rFonts w:ascii="Arial" w:eastAsia="Arial" w:hAnsi="Arial" w:cs="Arial"/>
                <w:b/>
                <w:i w:val="0"/>
                <w:strike w:val="0"/>
                <w:color w:val="000000"/>
                <w:sz w:val="13"/>
                <w:u w:val="none"/>
                <w:vertAlign w:val="baseline"/>
              </w:rPr>
              <w:t>7</w:t>
            </w:r>
            <w:bookmarkStart w:id="1089" w:name="XBRL_CE_fb2bc3ae8a414508ab39a9253c274a2b"/>
            <w:bookmarkEnd w:id="1088"/>
            <w:bookmarkEnd w:id="1089"/>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90" w:name="XBRL_CS_fcda8efcd8da4c11a2db6711f470db59"/>
            <w:bookmarkEnd w:id="1090"/>
            <w:bookmarkStart w:id="1091" w:name="fcda8efcd8da4c11a2db6711f470db59"/>
            <w:r>
              <w:rPr>
                <w:rFonts w:ascii="Arial" w:eastAsia="Arial" w:hAnsi="Arial" w:cs="Arial"/>
                <w:b/>
                <w:i w:val="0"/>
                <w:strike w:val="0"/>
                <w:color w:val="000000"/>
                <w:sz w:val="13"/>
                <w:u w:val="none"/>
                <w:vertAlign w:val="baseline"/>
              </w:rPr>
              <w:t>7</w:t>
            </w:r>
            <w:bookmarkStart w:id="1092" w:name="XBRL_CE_fcda8efcd8da4c11a2db6711f470db59"/>
            <w:bookmarkEnd w:id="1091"/>
            <w:bookmarkEnd w:id="1092"/>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93" w:name="XBRL_CS_8bbd26fdf8e24fbaa2663818dac9ef71"/>
            <w:bookmarkEnd w:id="1093"/>
            <w:bookmarkStart w:id="1094" w:name="8bbd26fdf8e24fbaa2663818dac9ef71"/>
            <w:bookmarkStart w:id="1095" w:name="XBRL_CS_227dd016ec494234a40ee62230b0234d"/>
            <w:bookmarkEnd w:id="1095"/>
            <w:bookmarkStart w:id="1096" w:name="227dd016ec494234a40ee62230b0234d"/>
            <w:r>
              <w:rPr>
                <w:rFonts w:ascii="Arial" w:eastAsia="Arial" w:hAnsi="Arial" w:cs="Arial"/>
                <w:b/>
                <w:i w:val="0"/>
                <w:strike w:val="0"/>
                <w:color w:val="000000"/>
                <w:sz w:val="13"/>
                <w:u w:val="none"/>
                <w:vertAlign w:val="baseline"/>
              </w:rPr>
              <w:t>7</w:t>
            </w:r>
            <w:bookmarkStart w:id="1097" w:name="XBRL_CE_227dd016ec494234a40ee62230b0234d"/>
            <w:bookmarkEnd w:id="1096"/>
            <w:bookmarkEnd w:id="1097"/>
            <w:bookmarkStart w:id="1098" w:name="XBRL_CE_8bbd26fdf8e24fbaa2663818dac9ef71"/>
            <w:bookmarkEnd w:id="1094"/>
            <w:bookmarkEnd w:id="1098"/>
          </w:p>
        </w:tc>
      </w:tr>
      <w:tr>
        <w:tblPrEx>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85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 on 31 December 2020</w:t>
            </w:r>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099" w:name="XBRL_CS_b17610d1d2ae4846bb2aa133ec00d9f1"/>
            <w:bookmarkEnd w:id="1099"/>
            <w:bookmarkStart w:id="1100" w:name="b17610d1d2ae4846bb2aa133ec00d9f1"/>
            <w:r>
              <w:rPr>
                <w:rFonts w:ascii="Arial" w:eastAsia="Arial" w:hAnsi="Arial" w:cs="Arial"/>
                <w:b/>
                <w:i w:val="0"/>
                <w:strike w:val="0"/>
                <w:color w:val="000000"/>
                <w:sz w:val="13"/>
                <w:u w:val="none"/>
                <w:vertAlign w:val="baseline"/>
              </w:rPr>
              <w:t>336</w:t>
            </w:r>
            <w:bookmarkStart w:id="1101" w:name="XBRL_CE_b17610d1d2ae4846bb2aa133ec00d9f1"/>
            <w:bookmarkEnd w:id="1100"/>
            <w:bookmarkEnd w:id="1101"/>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02" w:name="XBRL_CS_8dfbaf17a3fd4b10ad992e49e813b809"/>
            <w:bookmarkEnd w:id="1102"/>
            <w:bookmarkStart w:id="1103" w:name="8dfbaf17a3fd4b10ad992e49e813b809"/>
            <w:r>
              <w:rPr>
                <w:rFonts w:ascii="Arial" w:eastAsia="Arial" w:hAnsi="Arial" w:cs="Arial"/>
                <w:b/>
                <w:i w:val="0"/>
                <w:strike w:val="0"/>
                <w:color w:val="000000"/>
                <w:sz w:val="13"/>
                <w:u w:val="none"/>
                <w:vertAlign w:val="baseline"/>
              </w:rPr>
              <w:t>61</w:t>
            </w:r>
            <w:bookmarkStart w:id="1104" w:name="XBRL_CE_8dfbaf17a3fd4b10ad992e49e813b809"/>
            <w:bookmarkEnd w:id="1103"/>
            <w:bookmarkEnd w:id="1104"/>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05" w:name="XBRL_CS_d41c3cb7d2de462fadc4a6e79a11359a"/>
            <w:bookmarkEnd w:id="1105"/>
            <w:bookmarkStart w:id="1106" w:name="d41c3cb7d2de462fadc4a6e79a11359a"/>
            <w:r>
              <w:rPr>
                <w:rFonts w:ascii="Arial" w:eastAsia="Arial" w:hAnsi="Arial" w:cs="Arial"/>
                <w:b/>
                <w:i w:val="0"/>
                <w:strike w:val="0"/>
                <w:color w:val="000000"/>
                <w:sz w:val="13"/>
                <w:u w:val="none"/>
                <w:vertAlign w:val="baseline"/>
              </w:rPr>
              <w:t>-197</w:t>
            </w:r>
            <w:bookmarkStart w:id="1107" w:name="XBRL_CE_d41c3cb7d2de462fadc4a6e79a11359a"/>
            <w:bookmarkEnd w:id="1106"/>
            <w:bookmarkEnd w:id="1107"/>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08" w:name="XBRL_CS_7502ea9f68ef473e91bfaf58f6d80eba"/>
            <w:bookmarkEnd w:id="1108"/>
            <w:bookmarkStart w:id="1109" w:name="7502ea9f68ef473e91bfaf58f6d80eba"/>
            <w:r>
              <w:rPr>
                <w:rFonts w:ascii="Arial" w:eastAsia="Arial" w:hAnsi="Arial" w:cs="Arial"/>
                <w:b/>
                <w:i w:val="0"/>
                <w:strike w:val="0"/>
                <w:color w:val="000000"/>
                <w:sz w:val="13"/>
                <w:u w:val="none"/>
                <w:vertAlign w:val="baseline"/>
              </w:rPr>
              <w:t>-9</w:t>
            </w:r>
            <w:bookmarkStart w:id="1110" w:name="XBRL_CE_7502ea9f68ef473e91bfaf58f6d80eba"/>
            <w:bookmarkEnd w:id="1109"/>
            <w:bookmarkEnd w:id="1110"/>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11" w:name="XBRL_CS_3e8250ad924345d1911bc35f4a9b7055"/>
            <w:bookmarkEnd w:id="1111"/>
            <w:bookmarkStart w:id="1112" w:name="3e8250ad924345d1911bc35f4a9b7055"/>
            <w:r>
              <w:rPr>
                <w:rFonts w:ascii="Arial" w:eastAsia="Arial" w:hAnsi="Arial" w:cs="Arial"/>
                <w:b/>
                <w:i w:val="0"/>
                <w:strike w:val="0"/>
                <w:color w:val="000000"/>
                <w:sz w:val="13"/>
                <w:u w:val="none"/>
                <w:vertAlign w:val="baseline"/>
              </w:rPr>
              <w:t>-45</w:t>
            </w:r>
            <w:bookmarkStart w:id="1113" w:name="XBRL_CE_3e8250ad924345d1911bc35f4a9b7055"/>
            <w:bookmarkEnd w:id="1112"/>
            <w:bookmarkEnd w:id="1113"/>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14" w:name="XBRL_CS_ce322b1d6919417a8008c2068f240def"/>
            <w:bookmarkEnd w:id="1114"/>
            <w:bookmarkStart w:id="1115" w:name="ce322b1d6919417a8008c2068f240def"/>
            <w:r>
              <w:rPr>
                <w:rFonts w:ascii="Arial" w:eastAsia="Arial" w:hAnsi="Arial" w:cs="Arial"/>
                <w:b/>
                <w:i w:val="0"/>
                <w:strike w:val="0"/>
                <w:color w:val="000000"/>
                <w:sz w:val="13"/>
                <w:u w:val="none"/>
                <w:vertAlign w:val="baseline"/>
              </w:rPr>
              <w:t>2,030</w:t>
            </w:r>
            <w:bookmarkStart w:id="1116" w:name="XBRL_CE_ce322b1d6919417a8008c2068f240def"/>
            <w:bookmarkEnd w:id="1115"/>
            <w:bookmarkEnd w:id="1116"/>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17" w:name="XBRL_CS_40577422474541878b081dafa3e99190"/>
            <w:bookmarkEnd w:id="1117"/>
            <w:bookmarkStart w:id="1118" w:name="40577422474541878b081dafa3e99190"/>
            <w:r>
              <w:rPr>
                <w:rFonts w:ascii="Arial" w:eastAsia="Arial" w:hAnsi="Arial" w:cs="Arial"/>
                <w:b/>
                <w:i w:val="0"/>
                <w:strike w:val="0"/>
                <w:color w:val="000000"/>
                <w:sz w:val="13"/>
                <w:u w:val="none"/>
                <w:vertAlign w:val="baseline"/>
              </w:rPr>
              <w:t>2,177</w:t>
            </w:r>
            <w:bookmarkStart w:id="1119" w:name="XBRL_CE_40577422474541878b081dafa3e99190"/>
            <w:bookmarkEnd w:id="1118"/>
            <w:bookmarkEnd w:id="1119"/>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20" w:name="XBRL_CS_bb2ec070288e4cb395c6783507706814"/>
            <w:bookmarkEnd w:id="1120"/>
            <w:bookmarkStart w:id="1121" w:name="bb2ec070288e4cb395c6783507706814"/>
            <w:r>
              <w:rPr>
                <w:rFonts w:ascii="Arial" w:eastAsia="Arial" w:hAnsi="Arial" w:cs="Arial"/>
                <w:b/>
                <w:i w:val="0"/>
                <w:strike w:val="0"/>
                <w:color w:val="000000"/>
                <w:sz w:val="13"/>
                <w:u w:val="none"/>
                <w:vertAlign w:val="baseline"/>
              </w:rPr>
              <w:t>11</w:t>
            </w:r>
            <w:bookmarkStart w:id="1122" w:name="XBRL_CE_bb2ec070288e4cb395c6783507706814"/>
            <w:bookmarkEnd w:id="1121"/>
            <w:bookmarkEnd w:id="1122"/>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bookmarkStart w:id="1123" w:name="XBRL_CS_5898ea323a4f485190acb1744ad842f6"/>
            <w:bookmarkEnd w:id="1123"/>
            <w:bookmarkStart w:id="1124" w:name="5898ea323a4f485190acb1744ad842f6"/>
            <w:r>
              <w:rPr>
                <w:rFonts w:ascii="Arial" w:eastAsia="Arial" w:hAnsi="Arial" w:cs="Arial"/>
                <w:b/>
                <w:i w:val="0"/>
                <w:strike w:val="0"/>
                <w:color w:val="000000"/>
                <w:sz w:val="13"/>
                <w:u w:val="none"/>
                <w:vertAlign w:val="baseline"/>
              </w:rPr>
              <w:t>2,188</w:t>
            </w:r>
            <w:bookmarkStart w:id="1125" w:name="XBRL_CE_5898ea323a4f485190acb1744ad842f6"/>
            <w:bookmarkEnd w:id="1124"/>
            <w:bookmarkEnd w:id="1125"/>
          </w:p>
        </w:tc>
      </w:tr>
    </w:tbl>
    <w:p w:rsidR="008746FF" w:rsidP="00F472E2" w14:paraId="1944A925" w14:textId="77777777">
      <w:pPr>
        <w:pStyle w:val="Bodytext2"/>
      </w:pPr>
      <w:bookmarkStart w:id="1126" w:name="RG_MARKER_4499"/>
      <w:bookmarkEnd w:id="1126"/>
    </w:p>
    <w:p w:rsidR="00F472E2" w:rsidRPr="00F472E2" w:rsidP="00F472E2" w14:paraId="11040E5E" w14:textId="569124FC">
      <w:pPr>
        <w:pStyle w:val="Bodytext2"/>
      </w:pPr>
      <w:r w:rsidRPr="00F472E2">
        <w:t>Additional information on share capital, share premium, translation difference and fair value reserve is presented in Note 5.5. Equity.</w:t>
      </w:r>
    </w:p>
    <w:p w:rsidR="00F472E2" w:rsidRPr="00F472E2" w:rsidP="00F472E2" w14:paraId="63A7EBC3" w14:textId="77777777">
      <w:pPr>
        <w:pStyle w:val="Bodytext2"/>
      </w:pPr>
    </w:p>
    <w:p w:rsidR="00F472E2" w:rsidRPr="00C84DD0" w:rsidP="00C84DD0" w14:paraId="45AB43C9" w14:textId="51B55B6B">
      <w:pPr>
        <w:pStyle w:val="Bodytext2"/>
        <w:sectPr w:rsidSect="00C40048">
          <w:headerReference w:type="even" r:id="rId40"/>
          <w:headerReference w:type="default" r:id="rId41"/>
          <w:footerReference w:type="even" r:id="rId42"/>
          <w:footerReference w:type="default" r:id="rId43"/>
          <w:headerReference w:type="first" r:id="rId44"/>
          <w:footerReference w:type="first" r:id="rId45"/>
          <w:type w:val="continuous"/>
          <w:pgSz w:w="16838" w:h="11906" w:orient="landscape"/>
          <w:pgMar w:top="1814" w:right="737" w:bottom="1247" w:left="737" w:header="720" w:footer="720" w:gutter="0"/>
          <w:pgBorders w:zOrder="front" w:display="allPages" w:offsetFrom="text">
            <w:top w:val="nil"/>
            <w:left w:val="nil"/>
            <w:bottom w:val="nil"/>
            <w:right w:val="nil"/>
          </w:pgBorders>
          <w:cols w:space="624"/>
          <w:vAlign w:val="top"/>
          <w:titlePg w:val="0"/>
          <w:rtlGutter w:val="0"/>
          <w:docGrid w:linePitch="360"/>
        </w:sectPr>
      </w:pPr>
      <w:r w:rsidRPr="00F472E2">
        <w:t>The notes are an integral part of these consolidated financial statements</w:t>
      </w:r>
      <w:r>
        <w:t>.</w:t>
      </w:r>
      <w:r>
        <w:br w:type="column"/>
      </w:r>
    </w:p>
    <w:p w:rsidR="00F472E2" w:rsidRPr="001E35C0" w:rsidP="00F472E2" w14:paraId="56545A92" w14:textId="77777777">
      <w:pPr>
        <w:spacing w:before="48" w:after="0"/>
        <w:rPr>
          <w:sz w:val="2"/>
          <w:szCs w:val="2"/>
          <w:lang w:val="en-US"/>
        </w:rPr>
      </w:pPr>
      <w:r>
        <w:t xml:space="preserve"> </w:t>
      </w:r>
    </w:p>
    <w:p w:rsidR="00984CDF" w:rsidP="00984CDF" w14:paraId="4F6C48C3" w14:textId="77777777">
      <w:pPr>
        <w:pStyle w:val="Heading11"/>
      </w:pPr>
      <w:bookmarkStart w:id="1131" w:name="RG_MARKER_4195"/>
      <w:bookmarkStart w:id="1132" w:name="RG_MARKER_4055"/>
      <w:r>
        <w:t>NOTES TO THE CONSOLIDATED FINANCIAL STATEMENTS</w:t>
      </w:r>
      <w:bookmarkEnd w:id="1132"/>
      <w:bookmarkEnd w:id="1131"/>
    </w:p>
    <w:p w:rsidR="00984CDF" w:rsidP="00984CDF" w14:paraId="0830427A" w14:textId="77777777">
      <w:pPr>
        <w:pStyle w:val="Bodytext2"/>
      </w:pPr>
    </w:p>
    <w:p w:rsidR="00984CDF" w:rsidP="00984CDF" w14:paraId="3E72E96F" w14:textId="77777777">
      <w:pPr>
        <w:pStyle w:val="Heading11"/>
      </w:pPr>
      <w:r>
        <w:t>1. ACCOUNTING PRINCIPLES FOR THE CONSOLIDATED FINANCIAL STATEMENTS</w:t>
      </w:r>
    </w:p>
    <w:p w:rsidR="00984CDF" w:rsidP="00984CDF" w14:paraId="59721A1E" w14:textId="77777777">
      <w:pPr>
        <w:pStyle w:val="Bodytext2"/>
        <w:rPr>
          <w:szCs w:val="15"/>
        </w:rPr>
      </w:pPr>
    </w:p>
    <w:p w:rsidR="00984CDF" w:rsidP="00984CDF" w14:paraId="0960E617" w14:textId="77777777">
      <w:pPr>
        <w:pStyle w:val="Heading12"/>
      </w:pPr>
      <w:r>
        <w:t>1.1. BASIC INFORMATION</w:t>
      </w:r>
    </w:p>
    <w:p w:rsidR="00984CDF" w:rsidP="00984CDF" w14:paraId="6567B720" w14:textId="77777777">
      <w:pPr>
        <w:pStyle w:val="Bodytext2"/>
        <w:rPr>
          <w:szCs w:val="15"/>
        </w:rPr>
      </w:pPr>
      <w:bookmarkStart w:id="1133" w:name="XBRL_CS_5762b269f7824461838854f9cec5315c"/>
      <w:r>
        <w:rPr>
          <w:szCs w:val="15"/>
        </w:rPr>
        <w:t>Wärtsilä Corporation</w:t>
      </w:r>
      <w:bookmarkStart w:id="1134" w:name="XBRL_CE_5762b269f7824461838854f9cec5315c"/>
      <w:bookmarkEnd w:id="1133"/>
      <w:bookmarkEnd w:id="1134"/>
      <w:r>
        <w:rPr>
          <w:szCs w:val="15"/>
        </w:rPr>
        <w:t xml:space="preserve"> is a Finnish </w:t>
      </w:r>
      <w:bookmarkStart w:id="1135" w:name="XBRL_CS_2d80dbdbee3c4dce8c61d891a897409d"/>
      <w:r>
        <w:rPr>
          <w:szCs w:val="15"/>
        </w:rPr>
        <w:t>listed company</w:t>
      </w:r>
      <w:bookmarkStart w:id="1136" w:name="XBRL_CE_2d80dbdbee3c4dce8c61d891a897409d"/>
      <w:bookmarkEnd w:id="1135"/>
      <w:bookmarkEnd w:id="1136"/>
      <w:r>
        <w:rPr>
          <w:szCs w:val="15"/>
        </w:rPr>
        <w:t xml:space="preserve"> </w:t>
      </w:r>
      <w:r>
        <w:rPr>
          <w:szCs w:val="15"/>
        </w:rPr>
        <w:t>organised</w:t>
      </w:r>
      <w:r>
        <w:rPr>
          <w:szCs w:val="15"/>
        </w:rPr>
        <w:t xml:space="preserve"> under the laws of </w:t>
      </w:r>
      <w:bookmarkStart w:id="1137" w:name="XBRL_CS_cef58c2aa4124223870dc3aa3b9227c8"/>
      <w:r>
        <w:rPr>
          <w:szCs w:val="15"/>
        </w:rPr>
        <w:t>Finland</w:t>
      </w:r>
      <w:bookmarkStart w:id="1138" w:name="XBRL_CE_cef58c2aa4124223870dc3aa3b9227c8"/>
      <w:bookmarkEnd w:id="1137"/>
      <w:bookmarkEnd w:id="1138"/>
      <w:r>
        <w:rPr>
          <w:szCs w:val="15"/>
        </w:rPr>
        <w:t xml:space="preserve"> and domiciled in </w:t>
      </w:r>
      <w:bookmarkStart w:id="1139" w:name="XBRL_CS_9a1071ce70604ea7bb17763c3ba56b07"/>
      <w:r>
        <w:rPr>
          <w:szCs w:val="15"/>
        </w:rPr>
        <w:t>Helsinki</w:t>
      </w:r>
      <w:bookmarkStart w:id="1140" w:name="XBRL_CE_9a1071ce70604ea7bb17763c3ba56b07"/>
      <w:bookmarkEnd w:id="1139"/>
      <w:bookmarkEnd w:id="1140"/>
      <w:r>
        <w:rPr>
          <w:szCs w:val="15"/>
        </w:rPr>
        <w:t xml:space="preserve">. The address of its registered office is </w:t>
      </w:r>
      <w:bookmarkStart w:id="1141" w:name="XBRL_CS_4f68017f2487461292fe04c3294a5c22"/>
      <w:r>
        <w:rPr>
          <w:szCs w:val="15"/>
        </w:rPr>
        <w:t>Hiililaiturinkuja</w:t>
      </w:r>
      <w:r>
        <w:rPr>
          <w:szCs w:val="15"/>
        </w:rPr>
        <w:t xml:space="preserve"> 2, 00180 Helsinki</w:t>
      </w:r>
      <w:bookmarkStart w:id="1142" w:name="XBRL_CE_4f68017f2487461292fe04c3294a5c22"/>
      <w:bookmarkEnd w:id="1141"/>
      <w:bookmarkEnd w:id="1142"/>
      <w:r>
        <w:rPr>
          <w:szCs w:val="15"/>
        </w:rPr>
        <w:t xml:space="preserve">. </w:t>
      </w:r>
      <w:bookmarkStart w:id="1143" w:name="XBRL_CS_b718f30b69fd4166af8c8f0ecacbe6c4"/>
      <w:r>
        <w:rPr>
          <w:szCs w:val="15"/>
        </w:rPr>
        <w:t>Wärtsilä Corporation</w:t>
      </w:r>
      <w:bookmarkStart w:id="1144" w:name="XBRL_CE_b718f30b69fd4166af8c8f0ecacbe6c4"/>
      <w:bookmarkEnd w:id="1143"/>
      <w:bookmarkEnd w:id="1144"/>
      <w:r>
        <w:rPr>
          <w:szCs w:val="15"/>
        </w:rPr>
        <w:t xml:space="preserve"> is the ultimate parent company in the Wärtsilä Group.</w:t>
      </w:r>
    </w:p>
    <w:p w:rsidR="00984CDF" w:rsidP="00984CDF" w14:paraId="56E93E5C" w14:textId="77777777">
      <w:pPr>
        <w:pStyle w:val="Bodytext2"/>
        <w:rPr>
          <w:szCs w:val="15"/>
        </w:rPr>
      </w:pPr>
    </w:p>
    <w:p w:rsidR="00984CDF" w:rsidP="00984CDF" w14:paraId="4D0A334D" w14:textId="77777777">
      <w:pPr>
        <w:pStyle w:val="Bodytext2"/>
        <w:rPr>
          <w:szCs w:val="15"/>
        </w:rPr>
      </w:pPr>
      <w:bookmarkStart w:id="1145" w:name="XBRL_CS_d8522d7a0f284d159e6f6976bae25611"/>
      <w:r>
        <w:rPr>
          <w:szCs w:val="15"/>
        </w:rPr>
        <w:t>Wärtsilä is a global leader in smart technologies and complete lifecycle so</w:t>
      </w:r>
      <w:r>
        <w:rPr>
          <w:szCs w:val="15"/>
        </w:rPr>
        <w:t xml:space="preserve">lutions for the marine and energy markets. By </w:t>
      </w:r>
      <w:r>
        <w:rPr>
          <w:szCs w:val="15"/>
        </w:rPr>
        <w:t>emphasising</w:t>
      </w:r>
      <w:r>
        <w:rPr>
          <w:szCs w:val="15"/>
        </w:rPr>
        <w:t xml:space="preserve"> sustainable innovation, total efficiency and data analytics, Wärtsilä </w:t>
      </w:r>
      <w:r>
        <w:rPr>
          <w:szCs w:val="15"/>
        </w:rPr>
        <w:t>maximises</w:t>
      </w:r>
      <w:r>
        <w:rPr>
          <w:szCs w:val="15"/>
        </w:rPr>
        <w:t xml:space="preserve"> the environmental and economic performance of the vessels and power plants of its customers.</w:t>
      </w:r>
      <w:bookmarkStart w:id="1146" w:name="XBRL_CE_d8522d7a0f284d159e6f6976bae25611"/>
      <w:bookmarkEnd w:id="1145"/>
      <w:bookmarkEnd w:id="1146"/>
    </w:p>
    <w:p w:rsidR="00984CDF" w:rsidP="00984CDF" w14:paraId="1B5EEFAF" w14:textId="77777777">
      <w:pPr>
        <w:pStyle w:val="Bodytext2"/>
        <w:rPr>
          <w:szCs w:val="15"/>
        </w:rPr>
      </w:pPr>
    </w:p>
    <w:p w:rsidR="00984CDF" w:rsidP="00984CDF" w14:paraId="241DD6D5" w14:textId="686B34C7">
      <w:pPr>
        <w:pStyle w:val="Bodytext2"/>
        <w:rPr>
          <w:szCs w:val="15"/>
        </w:rPr>
      </w:pPr>
      <w:r>
        <w:rPr>
          <w:szCs w:val="15"/>
        </w:rPr>
        <w:t xml:space="preserve">In 2020, </w:t>
      </w:r>
      <w:bookmarkStart w:id="1147" w:name="XBRL_CS_26bbc56e7a184c65b8942bb441f8f8c5"/>
      <w:r w:rsidRPr="00BF1DEC">
        <w:rPr>
          <w:szCs w:val="15"/>
        </w:rPr>
        <w:t>Wärtsilä</w:t>
      </w:r>
      <w:bookmarkStart w:id="1148" w:name="XBRL_CE_26bbc56e7a184c65b8942bb441f8f8c5"/>
      <w:bookmarkEnd w:id="1147"/>
      <w:bookmarkEnd w:id="1148"/>
      <w:r>
        <w:rPr>
          <w:szCs w:val="15"/>
        </w:rPr>
        <w:t>’s</w:t>
      </w:r>
      <w:r>
        <w:rPr>
          <w:szCs w:val="15"/>
        </w:rPr>
        <w:t xml:space="preserve"> net </w:t>
      </w:r>
      <w:r>
        <w:rPr>
          <w:szCs w:val="15"/>
        </w:rPr>
        <w:t xml:space="preserve">sales </w:t>
      </w:r>
      <w:r>
        <w:rPr>
          <w:szCs w:val="15"/>
        </w:rPr>
        <w:t>totalled</w:t>
      </w:r>
      <w:r>
        <w:rPr>
          <w:szCs w:val="15"/>
        </w:rPr>
        <w:t xml:space="preserve"> EUR 4.6 billion with approximately 18,000 employees. The company has operations in over 200 locations in more than 70 countries around the world. Wärtsilä is listed on Nasdaq Helsinki.</w:t>
      </w:r>
    </w:p>
    <w:p w:rsidR="00984CDF" w:rsidP="00984CDF" w14:paraId="27C75D15" w14:textId="77777777">
      <w:pPr>
        <w:pStyle w:val="Bodytext2"/>
        <w:rPr>
          <w:szCs w:val="15"/>
        </w:rPr>
      </w:pPr>
    </w:p>
    <w:p w:rsidR="00984CDF" w:rsidP="00984CDF" w14:paraId="264AAED8" w14:textId="70185DDB">
      <w:pPr>
        <w:pStyle w:val="Bodytext2"/>
        <w:rPr>
          <w:szCs w:val="15"/>
        </w:rPr>
      </w:pPr>
      <w:r>
        <w:rPr>
          <w:szCs w:val="15"/>
        </w:rPr>
        <w:t>These consolidated fi</w:t>
      </w:r>
      <w:r w:rsidRPr="00A207BD">
        <w:rPr>
          <w:szCs w:val="15"/>
        </w:rPr>
        <w:t>na</w:t>
      </w:r>
      <w:r>
        <w:rPr>
          <w:szCs w:val="15"/>
        </w:rPr>
        <w:t xml:space="preserve">ncial statements were </w:t>
      </w:r>
      <w:r>
        <w:rPr>
          <w:szCs w:val="15"/>
        </w:rPr>
        <w:t>authorised</w:t>
      </w:r>
      <w:r>
        <w:rPr>
          <w:szCs w:val="15"/>
        </w:rPr>
        <w:t xml:space="preserve"> for release by the Board of Directors of </w:t>
      </w:r>
      <w:bookmarkStart w:id="1149" w:name="XBRL_CS_19fba51ee34d4f26a28a4e9cdc08888e"/>
      <w:r>
        <w:rPr>
          <w:szCs w:val="15"/>
        </w:rPr>
        <w:t>Wärtsilä Corporation</w:t>
      </w:r>
      <w:bookmarkStart w:id="1150" w:name="XBRL_CE_19fba51ee34d4f26a28a4e9cdc08888e"/>
      <w:bookmarkEnd w:id="1149"/>
      <w:bookmarkEnd w:id="1150"/>
      <w:r>
        <w:rPr>
          <w:szCs w:val="15"/>
        </w:rPr>
        <w:t xml:space="preserve"> on 27 January 2021, after which, in accordance with the Finnish Corporate Act, the shareholders have a right to approve or reject the financial statements in the Annual General Meeting. The Ann</w:t>
      </w:r>
      <w:r>
        <w:rPr>
          <w:szCs w:val="15"/>
        </w:rPr>
        <w:t>ual General Meeting also has the possibility to decide upon changes to the financial statements.</w:t>
      </w:r>
    </w:p>
    <w:p w:rsidR="00984CDF" w:rsidP="00984CDF" w14:paraId="1A22617F" w14:textId="77777777">
      <w:pPr>
        <w:pStyle w:val="Bodytext2"/>
        <w:rPr>
          <w:szCs w:val="15"/>
        </w:rPr>
      </w:pPr>
    </w:p>
    <w:p w:rsidR="00984CDF" w:rsidP="00984CDF" w14:paraId="3403147D" w14:textId="77777777">
      <w:pPr>
        <w:pStyle w:val="Heading12"/>
      </w:pPr>
      <w:r>
        <w:t>1.2. BASIS OF PREPARATION</w:t>
      </w:r>
    </w:p>
    <w:p w:rsidR="00984CDF" w:rsidRPr="003B573A" w:rsidP="00984CDF" w14:paraId="7535C098" w14:textId="4EE5D5B6">
      <w:pPr>
        <w:pStyle w:val="Bodytext2"/>
        <w:rPr>
          <w:szCs w:val="15"/>
        </w:rPr>
      </w:pPr>
      <w:r>
        <w:rPr>
          <w:szCs w:val="15"/>
        </w:rPr>
        <w:t xml:space="preserve">The consolidated financial statements are prepared in accordance with the International Financial Reporting </w:t>
      </w:r>
      <w:r w:rsidRPr="003B573A">
        <w:rPr>
          <w:szCs w:val="15"/>
        </w:rPr>
        <w:t>Standards (IFRS) by appl</w:t>
      </w:r>
      <w:r w:rsidRPr="003B573A">
        <w:rPr>
          <w:szCs w:val="15"/>
        </w:rPr>
        <w:t>ying IAS and IFRS standards and their SIC and IFRIC interpretations, which were in force on 31 December 2020. International Financial Reporting Standards refer to the standards, and their interpretations, approved for application in the EU in accordance wi</w:t>
      </w:r>
      <w:r w:rsidRPr="003B573A">
        <w:rPr>
          <w:szCs w:val="15"/>
        </w:rPr>
        <w:t>th the procedures stipulated in the EU’s regulation (EC) No. 1606/2002 and embodied in Finnish accounting legislation and the statutes enacted under it. The notes to the consolidated financial statements also comply with the Finnish accounting and corporat</w:t>
      </w:r>
      <w:r w:rsidRPr="003B573A">
        <w:rPr>
          <w:szCs w:val="15"/>
        </w:rPr>
        <w:t>e legislation.</w:t>
      </w:r>
    </w:p>
    <w:p w:rsidR="009D167B" w:rsidRPr="003B573A" w:rsidP="00984CDF" w14:paraId="62449795" w14:textId="7C78219E">
      <w:pPr>
        <w:pStyle w:val="Bodytext2"/>
        <w:rPr>
          <w:szCs w:val="15"/>
        </w:rPr>
      </w:pPr>
    </w:p>
    <w:p w:rsidR="009D167B" w:rsidRPr="003B573A" w:rsidP="009D167B" w14:paraId="000BF0EB" w14:textId="77777777">
      <w:pPr>
        <w:pStyle w:val="Bodytext2"/>
        <w:rPr>
          <w:lang w:val="en-GB"/>
        </w:rPr>
      </w:pPr>
      <w:r w:rsidRPr="003B573A">
        <w:rPr>
          <w:lang w:val="en-GB"/>
        </w:rPr>
        <w:t>All intragroup transactions, dividend distributions, receivables and liabilities, as well as unrealised margins, are eliminated in the consolidated financial statements. In the consolidated statements of income and comprehensive income, non</w:t>
      </w:r>
      <w:r w:rsidRPr="003B573A">
        <w:rPr>
          <w:lang w:val="en-GB"/>
        </w:rPr>
        <w:t>-controlling interests have been separated from the profit and the total comprehensive income for the financial period. In the consolidated statement of financial position, non-controlling interests are shown as a separate item under equity.</w:t>
      </w:r>
    </w:p>
    <w:p w:rsidR="00984CDF" w:rsidRPr="003B573A" w:rsidP="00984CDF" w14:paraId="2A2A8879" w14:textId="77777777">
      <w:pPr>
        <w:pStyle w:val="Bodytext2"/>
        <w:rPr>
          <w:szCs w:val="15"/>
        </w:rPr>
      </w:pPr>
    </w:p>
    <w:p w:rsidR="00984CDF" w:rsidRPr="003B573A" w:rsidP="00984CDF" w14:paraId="3CC24A2C" w14:textId="7A45412B">
      <w:pPr>
        <w:pStyle w:val="Bodytext2"/>
        <w:rPr>
          <w:szCs w:val="15"/>
        </w:rPr>
      </w:pPr>
      <w:r w:rsidRPr="003B573A">
        <w:rPr>
          <w:szCs w:val="15"/>
        </w:rPr>
        <w:t xml:space="preserve">Reporting is </w:t>
      </w:r>
      <w:r w:rsidRPr="003B573A">
        <w:rPr>
          <w:szCs w:val="15"/>
        </w:rPr>
        <w:t>based on the historical cost convention. Exceptions are the financial assets and liabilities at fair value through the statement of income, the assets and liabilities arising from pension plans, hedged items under fair value hedging, the cash- and share-se</w:t>
      </w:r>
      <w:r w:rsidRPr="003B573A">
        <w:rPr>
          <w:szCs w:val="15"/>
        </w:rPr>
        <w:t xml:space="preserve">ttled share-based payment transactions which are measured at fair value, and assets held for sale which are measured at the lower of the carrying amount and the fair value less costs to sell. The figures are in millions of euros except </w:t>
      </w:r>
      <w:r>
        <w:rPr>
          <w:szCs w:val="15"/>
        </w:rPr>
        <w:t>N</w:t>
      </w:r>
      <w:r w:rsidRPr="003B573A">
        <w:rPr>
          <w:szCs w:val="15"/>
        </w:rPr>
        <w:t>ote 7.2. Related pa</w:t>
      </w:r>
      <w:r w:rsidRPr="003B573A">
        <w:rPr>
          <w:szCs w:val="15"/>
        </w:rPr>
        <w:t xml:space="preserve">rty disclosures, which </w:t>
      </w:r>
      <w:r w:rsidRPr="003B573A" w:rsidR="009D167B">
        <w:rPr>
          <w:szCs w:val="15"/>
        </w:rPr>
        <w:t>is</w:t>
      </w:r>
      <w:r w:rsidRPr="003B573A">
        <w:rPr>
          <w:szCs w:val="15"/>
        </w:rPr>
        <w:t xml:space="preserve"> presented in thousands of euros.</w:t>
      </w:r>
    </w:p>
    <w:p w:rsidR="00984CDF" w:rsidRPr="003B573A" w:rsidP="00984CDF" w14:paraId="04A44704" w14:textId="77777777">
      <w:pPr>
        <w:pStyle w:val="Bodytext2"/>
        <w:rPr>
          <w:sz w:val="17"/>
        </w:rPr>
      </w:pPr>
    </w:p>
    <w:p w:rsidR="00984CDF" w:rsidRPr="003B573A" w:rsidP="00984CDF" w14:paraId="2D450D71" w14:textId="77777777">
      <w:pPr>
        <w:pStyle w:val="Heading12"/>
      </w:pPr>
      <w:r w:rsidRPr="003B573A">
        <w:t>1.3. NEW AND AMENDED IFRS STANDARDS</w:t>
      </w:r>
    </w:p>
    <w:p w:rsidR="00984CDF" w:rsidRPr="003B573A" w:rsidP="00984CDF" w14:paraId="4D21693D" w14:textId="77777777">
      <w:pPr>
        <w:pStyle w:val="Bodytext2"/>
        <w:rPr>
          <w:szCs w:val="15"/>
        </w:rPr>
      </w:pPr>
      <w:r w:rsidRPr="003B573A">
        <w:rPr>
          <w:szCs w:val="15"/>
        </w:rPr>
        <w:t>In 2020, the Group has adopted the following amended standards issued by the IASB.</w:t>
      </w:r>
    </w:p>
    <w:p w:rsidR="00984CDF" w:rsidRPr="003B573A" w:rsidP="00984CDF" w14:paraId="15CF240D" w14:textId="77777777">
      <w:pPr>
        <w:pStyle w:val="Bodytext2"/>
        <w:rPr>
          <w:szCs w:val="15"/>
        </w:rPr>
      </w:pPr>
    </w:p>
    <w:p w:rsidR="00984CDF" w:rsidRPr="003B573A" w:rsidP="00984CDF" w14:paraId="46A6C6DC" w14:textId="77777777">
      <w:pPr>
        <w:pStyle w:val="Bodytext2"/>
        <w:rPr>
          <w:szCs w:val="15"/>
        </w:rPr>
      </w:pPr>
      <w:r w:rsidRPr="003B573A">
        <w:rPr>
          <w:szCs w:val="15"/>
        </w:rPr>
        <w:t xml:space="preserve">Amendments to IFRS 3 Business Combinations (effective for financial periods </w:t>
      </w:r>
      <w:r w:rsidRPr="003B573A">
        <w:rPr>
          <w:szCs w:val="15"/>
        </w:rPr>
        <w:t>beginning on or after 1 January 2020). The amendments are intended to assist entities to determine whether a transaction should be accounted for as a business combination or as an asset acquisition. The amendments clarify the minimum requirements for a bus</w:t>
      </w:r>
      <w:r w:rsidRPr="003B573A">
        <w:rPr>
          <w:szCs w:val="15"/>
        </w:rPr>
        <w:t>iness, remove the assessment of whether market participants are capable of replacing any missing elements, add guidance to help entities assess whether an acquired process is substantive, narrow the definitions of a business and of outputs, and introduce a</w:t>
      </w:r>
      <w:r w:rsidRPr="003B573A">
        <w:rPr>
          <w:szCs w:val="15"/>
        </w:rPr>
        <w:t>n optional fair value concentration test. The amendments have no impact on the consolidated financial statements.</w:t>
      </w:r>
    </w:p>
    <w:p w:rsidR="00984CDF" w:rsidRPr="003B573A" w:rsidP="00984CDF" w14:paraId="0727D259" w14:textId="77777777">
      <w:pPr>
        <w:pStyle w:val="Bodytext2"/>
        <w:rPr>
          <w:szCs w:val="15"/>
        </w:rPr>
      </w:pPr>
    </w:p>
    <w:p w:rsidR="00984CDF" w:rsidRPr="003B573A" w:rsidP="00984CDF" w14:paraId="1DBD4D71" w14:textId="77777777">
      <w:pPr>
        <w:pStyle w:val="Bodytext2"/>
        <w:rPr>
          <w:szCs w:val="15"/>
        </w:rPr>
      </w:pPr>
      <w:r w:rsidRPr="003B573A">
        <w:rPr>
          <w:szCs w:val="15"/>
        </w:rPr>
        <w:t>Amendments to IAS 1 Presentation of Financial Statements and IAS 8 Accounting Policies, Changes in Accounting Estimates and Errors (effective</w:t>
      </w:r>
      <w:r w:rsidRPr="003B573A">
        <w:rPr>
          <w:szCs w:val="15"/>
        </w:rPr>
        <w:t xml:space="preserve"> for financial periods beginning on or after 1 January 2020). The purpose of the amendments is to align the definition of ‘material’ across the standards and to clarify certain aspects of the definition. The amendments clarify that materiality will depend </w:t>
      </w:r>
      <w:r w:rsidRPr="003B573A">
        <w:rPr>
          <w:szCs w:val="15"/>
        </w:rPr>
        <w:t>on the nature or magnitude of information, or both. The amendments have no impact on the consolidated financial statements.</w:t>
      </w:r>
    </w:p>
    <w:p w:rsidR="00984CDF" w:rsidRPr="003B573A" w:rsidP="00984CDF" w14:paraId="0250A8DE" w14:textId="77777777">
      <w:pPr>
        <w:pStyle w:val="Bodytext2"/>
        <w:rPr>
          <w:szCs w:val="15"/>
        </w:rPr>
      </w:pPr>
    </w:p>
    <w:p w:rsidR="00984CDF" w:rsidRPr="003B573A" w:rsidP="00984CDF" w14:paraId="6B6B04B1" w14:textId="567DA3D2">
      <w:pPr>
        <w:pStyle w:val="Bodytext2"/>
        <w:rPr>
          <w:szCs w:val="15"/>
        </w:rPr>
      </w:pPr>
      <w:r w:rsidRPr="003B573A">
        <w:rPr>
          <w:szCs w:val="15"/>
        </w:rPr>
        <w:t>Amendments to IFRS 9 Financial Instruments, IAS 39 Financial Instruments: Recognition and Measurement, and IFRS 7 Financial Instruments: Disclosures (effective for financial periods beginning on or after 1 January 2020). These amendments provide certain re</w:t>
      </w:r>
      <w:r w:rsidRPr="003B573A">
        <w:rPr>
          <w:szCs w:val="15"/>
        </w:rPr>
        <w:t xml:space="preserve">liefs in connection with interest rate benchmark reform. The reliefs relate to hedge accounting and have the effect that IBOR reform should not generally cause hedge accounting to terminate. Any hedge ineffectiveness should continue to be </w:t>
      </w:r>
      <w:r w:rsidRPr="003B573A">
        <w:rPr>
          <w:szCs w:val="15"/>
        </w:rPr>
        <w:t>reco</w:t>
      </w:r>
      <w:r>
        <w:rPr>
          <w:szCs w:val="15"/>
        </w:rPr>
        <w:t>gnised</w:t>
      </w:r>
      <w:r w:rsidRPr="003B573A">
        <w:rPr>
          <w:szCs w:val="15"/>
        </w:rPr>
        <w:t xml:space="preserve"> in the</w:t>
      </w:r>
      <w:r w:rsidRPr="003B573A">
        <w:rPr>
          <w:szCs w:val="15"/>
        </w:rPr>
        <w:t xml:space="preserve"> statement of income. The amendments do not have a significant impact on the consolidated financial statements.</w:t>
      </w:r>
    </w:p>
    <w:p w:rsidR="00984CDF" w:rsidRPr="003B573A" w:rsidP="00984CDF" w14:paraId="039FF56A" w14:textId="77777777">
      <w:pPr>
        <w:pStyle w:val="Bodytext2"/>
        <w:rPr>
          <w:szCs w:val="15"/>
        </w:rPr>
      </w:pPr>
    </w:p>
    <w:p w:rsidR="00984CDF" w:rsidRPr="00F128B6" w:rsidP="00984CDF" w14:paraId="6E5ED0E3" w14:textId="3B400FD4">
      <w:pPr>
        <w:pStyle w:val="Bodytext2"/>
        <w:rPr>
          <w:sz w:val="2"/>
          <w:szCs w:val="2"/>
        </w:rPr>
      </w:pPr>
      <w:r w:rsidRPr="003B573A">
        <w:rPr>
          <w:szCs w:val="15"/>
        </w:rPr>
        <w:t>Amendment to IFRS 16 Leases Covid-19-Related Rent Concessions (effective for financial periods beginning on or after 1 June 2020). The amendmen</w:t>
      </w:r>
      <w:r w:rsidRPr="003B573A">
        <w:rPr>
          <w:szCs w:val="15"/>
        </w:rPr>
        <w:t>t introduces an optional practical expedient that simplifies how a lessee accounts for rent concessions that are a direct consequence of the COVID-19 pandemic. A lessee that applies the practical expedient is not required to assess whether eligible rent co</w:t>
      </w:r>
      <w:r w:rsidRPr="003B573A">
        <w:rPr>
          <w:szCs w:val="15"/>
        </w:rPr>
        <w:t xml:space="preserve">ncessions are lease modifications when the criteria presented in the amendment are met. The amendment </w:t>
      </w:r>
      <w:r w:rsidRPr="003B573A" w:rsidR="009D167B">
        <w:rPr>
          <w:szCs w:val="15"/>
        </w:rPr>
        <w:t xml:space="preserve">does not have </w:t>
      </w:r>
      <w:r w:rsidRPr="003B573A">
        <w:rPr>
          <w:szCs w:val="15"/>
        </w:rPr>
        <w:t>a significant impact on the consolidated financial statements.</w:t>
      </w:r>
      <w:r>
        <w:rPr>
          <w:szCs w:val="15"/>
        </w:rPr>
        <w:br w:type="column"/>
      </w:r>
    </w:p>
    <w:p w:rsidR="00984CDF" w:rsidRPr="003B573A" w:rsidP="00984CDF" w14:paraId="468096C4" w14:textId="77777777">
      <w:pPr>
        <w:pStyle w:val="Bodytext2"/>
        <w:rPr>
          <w:szCs w:val="15"/>
        </w:rPr>
      </w:pPr>
      <w:r w:rsidRPr="003B573A">
        <w:rPr>
          <w:szCs w:val="15"/>
        </w:rPr>
        <w:t>In 2021 or later, the Group will adopt the following new or amended standard</w:t>
      </w:r>
      <w:r w:rsidRPr="003B573A">
        <w:rPr>
          <w:szCs w:val="15"/>
        </w:rPr>
        <w:t>s issued by the IASB.</w:t>
      </w:r>
    </w:p>
    <w:p w:rsidR="00984CDF" w:rsidRPr="003B573A" w:rsidP="00984CDF" w14:paraId="4E24B23F" w14:textId="77777777">
      <w:pPr>
        <w:pStyle w:val="Bodytext2"/>
        <w:rPr>
          <w:szCs w:val="15"/>
        </w:rPr>
      </w:pPr>
    </w:p>
    <w:p w:rsidR="00984CDF" w:rsidRPr="003B573A" w:rsidP="00984CDF" w14:paraId="70D6FAF1" w14:textId="083472CC">
      <w:pPr>
        <w:pStyle w:val="Bodytext2"/>
        <w:rPr>
          <w:szCs w:val="15"/>
        </w:rPr>
      </w:pPr>
      <w:r w:rsidRPr="003B573A">
        <w:rPr>
          <w:szCs w:val="15"/>
        </w:rPr>
        <w:t>Amendments to IAS 1 Presentation of Financial Statements* (effective for financial periods beginning on or after 1 January 2022). The amendments clarify that liabilities are classified as either current or non-current, depending on t</w:t>
      </w:r>
      <w:r w:rsidRPr="003B573A">
        <w:rPr>
          <w:szCs w:val="15"/>
        </w:rPr>
        <w:t xml:space="preserve">he rights that exist at the end of the reporting period. </w:t>
      </w:r>
      <w:r>
        <w:rPr>
          <w:szCs w:val="15"/>
        </w:rPr>
        <w:t xml:space="preserve">Classification is unaffected by the expectations of the entity or events after the reporting date. </w:t>
      </w:r>
      <w:r w:rsidRPr="003B573A">
        <w:rPr>
          <w:szCs w:val="15"/>
        </w:rPr>
        <w:t>The amendments will have no impact on the consolidated financial statements.</w:t>
      </w:r>
    </w:p>
    <w:p w:rsidR="00984CDF" w:rsidRPr="003B573A" w:rsidP="00984CDF" w14:paraId="0265EA83" w14:textId="77777777">
      <w:pPr>
        <w:pStyle w:val="Bodytext2"/>
        <w:rPr>
          <w:szCs w:val="15"/>
        </w:rPr>
      </w:pPr>
    </w:p>
    <w:p w:rsidR="00984CDF" w:rsidRPr="003B573A" w:rsidP="00984CDF" w14:paraId="1AE259EA" w14:textId="77777777">
      <w:pPr>
        <w:pStyle w:val="Bodytext2"/>
        <w:rPr>
          <w:szCs w:val="15"/>
        </w:rPr>
      </w:pPr>
      <w:r w:rsidRPr="003B573A">
        <w:rPr>
          <w:szCs w:val="15"/>
        </w:rPr>
        <w:t xml:space="preserve">Amendments to IAS 37: </w:t>
      </w:r>
      <w:r w:rsidRPr="003B573A">
        <w:rPr>
          <w:szCs w:val="15"/>
        </w:rPr>
        <w:t>Provisions, Contingent Liabilities and Contingent Assets*</w:t>
      </w:r>
      <w:r w:rsidRPr="003B573A">
        <w:rPr>
          <w:i/>
          <w:iCs/>
          <w:szCs w:val="15"/>
        </w:rPr>
        <w:t xml:space="preserve"> </w:t>
      </w:r>
      <w:r w:rsidRPr="003B573A">
        <w:rPr>
          <w:szCs w:val="15"/>
        </w:rPr>
        <w:t>(effective for financial periods beginning on or after 1 January 2022). The amendments specify which costs an entity needs to include when assessing whether a contract is onerous or loss-making. The</w:t>
      </w:r>
      <w:r w:rsidRPr="003B573A">
        <w:rPr>
          <w:szCs w:val="15"/>
        </w:rPr>
        <w:t xml:space="preserve"> amendments are intended to provide clarity and help to ensure consistent application of the standard. The amendments apply a directly related cost approach. The costs that relate directly to a contract to provide goods or services include both incremental</w:t>
      </w:r>
      <w:r w:rsidRPr="003B573A">
        <w:rPr>
          <w:szCs w:val="15"/>
        </w:rPr>
        <w:t xml:space="preserve"> costs and an allocation of costs directly related to contract activities. Judgement will be required in determining which costs are directly related to contract activities. The amendments are not expected to have a significant impact on the consolidated f</w:t>
      </w:r>
      <w:r w:rsidRPr="003B573A">
        <w:rPr>
          <w:szCs w:val="15"/>
        </w:rPr>
        <w:t>inancial statements.</w:t>
      </w:r>
    </w:p>
    <w:p w:rsidR="00984CDF" w:rsidRPr="003B573A" w:rsidP="00984CDF" w14:paraId="78A033EF" w14:textId="77777777">
      <w:pPr>
        <w:pStyle w:val="Bodytext2"/>
        <w:rPr>
          <w:szCs w:val="15"/>
        </w:rPr>
      </w:pPr>
    </w:p>
    <w:p w:rsidR="00984CDF" w:rsidRPr="003B573A" w:rsidP="00984CDF" w14:paraId="34F54512" w14:textId="3EFE143E">
      <w:pPr>
        <w:pStyle w:val="Bodytext2"/>
        <w:rPr>
          <w:szCs w:val="15"/>
        </w:rPr>
      </w:pPr>
      <w:r w:rsidRPr="003B573A">
        <w:rPr>
          <w:szCs w:val="15"/>
        </w:rPr>
        <w:t>Amendments to IAS 16: Property, Plant and Equipment*</w:t>
      </w:r>
      <w:r>
        <w:rPr>
          <w:szCs w:val="15"/>
        </w:rPr>
        <w:t xml:space="preserve"> </w:t>
      </w:r>
      <w:r w:rsidRPr="003B573A">
        <w:rPr>
          <w:szCs w:val="15"/>
        </w:rPr>
        <w:t xml:space="preserve">(effective for financial periods beginning on or after 1 January 2022). The amendments prohibit entities from deducting from the cost of an item of property, plant and </w:t>
      </w:r>
      <w:r w:rsidRPr="003B573A">
        <w:rPr>
          <w:szCs w:val="15"/>
        </w:rPr>
        <w:t>equipment, any proceeds of the sale of items produced while bringing that asset to the location and condition necessary for it to be capable of operating in the manner intended by the management. The proceeds from selling such items and the costs of produc</w:t>
      </w:r>
      <w:r w:rsidRPr="003B573A">
        <w:rPr>
          <w:szCs w:val="15"/>
        </w:rPr>
        <w:t xml:space="preserve">ing those items are </w:t>
      </w:r>
      <w:r w:rsidRPr="003B573A">
        <w:rPr>
          <w:szCs w:val="15"/>
        </w:rPr>
        <w:t>recognised</w:t>
      </w:r>
      <w:r w:rsidRPr="003B573A">
        <w:rPr>
          <w:szCs w:val="15"/>
        </w:rPr>
        <w:t xml:space="preserve"> in the statement of income. The amendments will have no impact on the consolidated financial statements.</w:t>
      </w:r>
    </w:p>
    <w:p w:rsidR="00984CDF" w:rsidRPr="003B573A" w:rsidP="00984CDF" w14:paraId="40679716" w14:textId="77777777">
      <w:pPr>
        <w:pStyle w:val="Bodytext2"/>
        <w:rPr>
          <w:szCs w:val="15"/>
        </w:rPr>
      </w:pPr>
    </w:p>
    <w:p w:rsidR="00984CDF" w:rsidRPr="003B573A" w:rsidP="00984CDF" w14:paraId="611BEEC6" w14:textId="77777777">
      <w:pPr>
        <w:pStyle w:val="Bodytext2"/>
        <w:rPr>
          <w:szCs w:val="15"/>
        </w:rPr>
      </w:pPr>
      <w:r w:rsidRPr="003B573A">
        <w:rPr>
          <w:szCs w:val="15"/>
        </w:rPr>
        <w:t>IFRS 17 Insurance Contracts* (effective for financial periods beginning on or after 1 January 2023). IFRS 17 applies to</w:t>
      </w:r>
      <w:r w:rsidRPr="003B573A">
        <w:rPr>
          <w:szCs w:val="15"/>
        </w:rPr>
        <w:t xml:space="preserve"> all types of insurance contracts (direct insurance and re-insurance) regardless of the type of entities that issue them, as well as to certain guarantees and financial instruments with discretionary participation features. The overall objective is to prov</w:t>
      </w:r>
      <w:r w:rsidRPr="003B573A">
        <w:rPr>
          <w:szCs w:val="15"/>
        </w:rPr>
        <w:t>ide a consistent accounting model for insurance contracts. The impact is under review within the Group.</w:t>
      </w:r>
    </w:p>
    <w:p w:rsidR="00984CDF" w:rsidRPr="003B573A" w:rsidP="00984CDF" w14:paraId="07A3FC39" w14:textId="77777777">
      <w:pPr>
        <w:pStyle w:val="Bodytext2"/>
        <w:rPr>
          <w:szCs w:val="15"/>
        </w:rPr>
      </w:pPr>
    </w:p>
    <w:p w:rsidR="00984CDF" w:rsidRPr="003B573A" w:rsidP="00984CDF" w14:paraId="390FC577" w14:textId="77777777">
      <w:pPr>
        <w:pStyle w:val="Bodytext2"/>
        <w:rPr>
          <w:szCs w:val="15"/>
        </w:rPr>
      </w:pPr>
      <w:r w:rsidRPr="003B573A">
        <w:rPr>
          <w:szCs w:val="15"/>
        </w:rPr>
        <w:t>* Not yet endorsed for use by the European Union as of 31 December 2020</w:t>
      </w:r>
    </w:p>
    <w:p w:rsidR="00984CDF" w:rsidRPr="003B573A" w:rsidP="00984CDF" w14:paraId="2D1726E5" w14:textId="77777777">
      <w:pPr>
        <w:pStyle w:val="Bodytext2"/>
        <w:rPr>
          <w:szCs w:val="15"/>
        </w:rPr>
      </w:pPr>
    </w:p>
    <w:p w:rsidR="00984CDF" w:rsidRPr="003B573A" w:rsidP="00984CDF" w14:paraId="6C3BEFA9" w14:textId="77777777">
      <w:pPr>
        <w:pStyle w:val="Heading12"/>
      </w:pPr>
      <w:r w:rsidRPr="003B573A">
        <w:t>1.4. MANAGEMENT JUDGEMENT AND USE OF ESTIMATES</w:t>
      </w:r>
    </w:p>
    <w:p w:rsidR="00984CDF" w:rsidRPr="003B573A" w:rsidP="00984CDF" w14:paraId="526629BE" w14:textId="6A4A7003">
      <w:pPr>
        <w:pStyle w:val="Bodytext2"/>
        <w:rPr>
          <w:szCs w:val="15"/>
        </w:rPr>
      </w:pPr>
      <w:r w:rsidRPr="003B573A">
        <w:rPr>
          <w:szCs w:val="15"/>
        </w:rPr>
        <w:t>Preparation of the financial st</w:t>
      </w:r>
      <w:r w:rsidRPr="003B573A">
        <w:rPr>
          <w:szCs w:val="15"/>
        </w:rPr>
        <w:t>atements in accordance with the IFRS requires management to make judgements, estimates</w:t>
      </w:r>
      <w:r w:rsidR="00FB0A08">
        <w:rPr>
          <w:szCs w:val="15"/>
        </w:rPr>
        <w:t>,</w:t>
      </w:r>
      <w:r w:rsidRPr="003B573A">
        <w:rPr>
          <w:szCs w:val="15"/>
        </w:rPr>
        <w:t xml:space="preserve"> and assumptions that affect the valuation of the reported assets and liabilities, as well as other information, such as contingent assets and liabilities and the recogn</w:t>
      </w:r>
      <w:r w:rsidRPr="003B573A">
        <w:rPr>
          <w:szCs w:val="15"/>
        </w:rPr>
        <w:t>ition of income and expenses in the statement of income. Although these</w:t>
      </w:r>
      <w:r w:rsidRPr="003B573A" w:rsidR="00F93E8D">
        <w:rPr>
          <w:szCs w:val="15"/>
        </w:rPr>
        <w:t xml:space="preserve"> continuously evaluated</w:t>
      </w:r>
      <w:r w:rsidRPr="003B573A">
        <w:rPr>
          <w:szCs w:val="15"/>
        </w:rPr>
        <w:t xml:space="preserve"> </w:t>
      </w:r>
      <w:r w:rsidRPr="003B573A" w:rsidR="00F93E8D">
        <w:rPr>
          <w:szCs w:val="15"/>
        </w:rPr>
        <w:t xml:space="preserve">judgements, </w:t>
      </w:r>
      <w:r w:rsidRPr="003B573A">
        <w:rPr>
          <w:szCs w:val="15"/>
        </w:rPr>
        <w:t>estimates</w:t>
      </w:r>
      <w:r w:rsidR="00D92D57">
        <w:rPr>
          <w:szCs w:val="15"/>
        </w:rPr>
        <w:t>,</w:t>
      </w:r>
      <w:r w:rsidRPr="003B573A">
        <w:rPr>
          <w:szCs w:val="15"/>
        </w:rPr>
        <w:t xml:space="preserve"> and assumptions are based on management’s </w:t>
      </w:r>
      <w:r w:rsidRPr="003B573A">
        <w:rPr>
          <w:szCs w:val="15"/>
        </w:rPr>
        <w:t>past experience</w:t>
      </w:r>
      <w:r w:rsidRPr="003B573A">
        <w:rPr>
          <w:szCs w:val="15"/>
        </w:rPr>
        <w:t xml:space="preserve"> and best knowledge of</w:t>
      </w:r>
      <w:r w:rsidRPr="003B573A" w:rsidR="00F93E8D">
        <w:rPr>
          <w:szCs w:val="15"/>
        </w:rPr>
        <w:t xml:space="preserve"> </w:t>
      </w:r>
      <w:r w:rsidRPr="003B573A">
        <w:rPr>
          <w:szCs w:val="15"/>
        </w:rPr>
        <w:t>current events and actions</w:t>
      </w:r>
      <w:r>
        <w:rPr>
          <w:szCs w:val="15"/>
        </w:rPr>
        <w:t>,</w:t>
      </w:r>
      <w:r w:rsidRPr="003B573A" w:rsidR="00F93E8D">
        <w:rPr>
          <w:szCs w:val="15"/>
        </w:rPr>
        <w:t xml:space="preserve"> as well as expectations of future events,</w:t>
      </w:r>
      <w:r w:rsidRPr="003B573A">
        <w:rPr>
          <w:szCs w:val="15"/>
        </w:rPr>
        <w:t xml:space="preserve"> actual results may differ from the estimates.</w:t>
      </w:r>
    </w:p>
    <w:p w:rsidR="00984CDF" w:rsidRPr="003B573A" w:rsidP="00984CDF" w14:paraId="345C47E6" w14:textId="77777777">
      <w:pPr>
        <w:pStyle w:val="Bodytext2"/>
        <w:rPr>
          <w:szCs w:val="15"/>
        </w:rPr>
      </w:pPr>
    </w:p>
    <w:p w:rsidR="00984CDF" w:rsidRPr="003B573A" w:rsidP="00984CDF" w14:paraId="533F0F48" w14:textId="23948017">
      <w:pPr>
        <w:pStyle w:val="Bodytext2"/>
        <w:rPr>
          <w:szCs w:val="15"/>
        </w:rPr>
      </w:pPr>
      <w:r w:rsidRPr="003B573A">
        <w:rPr>
          <w:szCs w:val="15"/>
        </w:rPr>
        <w:t>For Wärtsilä, the most significant judgements, estimates, and assumptions made by the management relate to the items listed below, more information can be found in the corresponding note:</w:t>
      </w:r>
    </w:p>
    <w:p w:rsidR="00984CDF" w:rsidRPr="003B573A" w:rsidP="006C2CD9" w14:paraId="087700DF" w14:textId="174B87CF">
      <w:pPr>
        <w:pStyle w:val="Bodytext2"/>
        <w:numPr>
          <w:ilvl w:val="0"/>
          <w:numId w:val="2"/>
        </w:numPr>
        <w:rPr>
          <w:szCs w:val="15"/>
        </w:rPr>
      </w:pPr>
      <w:r w:rsidRPr="003B573A">
        <w:rPr>
          <w:szCs w:val="15"/>
        </w:rPr>
        <w:t>revenue r</w:t>
      </w:r>
      <w:r w:rsidRPr="003B573A">
        <w:rPr>
          <w:szCs w:val="15"/>
        </w:rPr>
        <w:t>ecognition, especially project estimates for long-term projects and agreements (</w:t>
      </w:r>
      <w:r w:rsidRPr="003B573A" w:rsidR="00577C31">
        <w:rPr>
          <w:szCs w:val="15"/>
        </w:rPr>
        <w:t>N</w:t>
      </w:r>
      <w:r w:rsidRPr="003B573A">
        <w:rPr>
          <w:szCs w:val="15"/>
        </w:rPr>
        <w:t>ote 2.2. Revenue recognition),</w:t>
      </w:r>
    </w:p>
    <w:p w:rsidR="00577C31" w:rsidRPr="003B573A" w:rsidP="00577C31" w14:paraId="76D64347" w14:textId="40EE2BE0">
      <w:pPr>
        <w:pStyle w:val="Bodytext2"/>
        <w:numPr>
          <w:ilvl w:val="0"/>
          <w:numId w:val="2"/>
        </w:numPr>
        <w:rPr>
          <w:szCs w:val="15"/>
        </w:rPr>
      </w:pPr>
      <w:r w:rsidRPr="003B573A">
        <w:rPr>
          <w:szCs w:val="15"/>
        </w:rPr>
        <w:t>uncertain tax positions (Note 2.6. Income taxes),</w:t>
      </w:r>
    </w:p>
    <w:p w:rsidR="00984CDF" w:rsidRPr="003B573A" w:rsidP="00E55EB6" w14:paraId="6F16F729" w14:textId="46DD1745">
      <w:pPr>
        <w:pStyle w:val="Bodytext2"/>
        <w:numPr>
          <w:ilvl w:val="0"/>
          <w:numId w:val="2"/>
        </w:numPr>
        <w:rPr>
          <w:szCs w:val="15"/>
        </w:rPr>
      </w:pPr>
      <w:r w:rsidRPr="003B573A">
        <w:rPr>
          <w:szCs w:val="15"/>
        </w:rPr>
        <w:t>impairment testing (</w:t>
      </w:r>
      <w:r w:rsidRPr="003B573A" w:rsidR="00577C31">
        <w:rPr>
          <w:szCs w:val="15"/>
        </w:rPr>
        <w:t>N</w:t>
      </w:r>
      <w:r w:rsidRPr="003B573A">
        <w:rPr>
          <w:szCs w:val="15"/>
        </w:rPr>
        <w:t>ote 3.1. Goodwill),</w:t>
      </w:r>
    </w:p>
    <w:p w:rsidR="009D167B" w:rsidRPr="003B573A" w:rsidP="00E55EB6" w14:paraId="4F27742E" w14:textId="6F06972F">
      <w:pPr>
        <w:pStyle w:val="Bodytext2"/>
        <w:numPr>
          <w:ilvl w:val="0"/>
          <w:numId w:val="2"/>
        </w:numPr>
        <w:rPr>
          <w:szCs w:val="15"/>
        </w:rPr>
      </w:pPr>
      <w:r w:rsidRPr="003B573A">
        <w:rPr>
          <w:szCs w:val="15"/>
        </w:rPr>
        <w:t>estimating useful lives and assessing indication of i</w:t>
      </w:r>
      <w:r w:rsidRPr="003B573A">
        <w:rPr>
          <w:szCs w:val="15"/>
        </w:rPr>
        <w:t>mpairment</w:t>
      </w:r>
      <w:r w:rsidRPr="003B573A" w:rsidR="00FD200E">
        <w:rPr>
          <w:szCs w:val="15"/>
        </w:rPr>
        <w:t xml:space="preserve"> </w:t>
      </w:r>
      <w:r w:rsidRPr="003B573A">
        <w:rPr>
          <w:szCs w:val="15"/>
        </w:rPr>
        <w:t>(</w:t>
      </w:r>
      <w:r w:rsidRPr="003B573A" w:rsidR="00577C31">
        <w:rPr>
          <w:szCs w:val="15"/>
        </w:rPr>
        <w:t>N</w:t>
      </w:r>
      <w:r w:rsidRPr="003B573A">
        <w:rPr>
          <w:szCs w:val="15"/>
        </w:rPr>
        <w:t>otes 3.2. Other intangible assets and 3.3. Property, plant and equi</w:t>
      </w:r>
      <w:r w:rsidRPr="003B573A" w:rsidR="00577C31">
        <w:rPr>
          <w:szCs w:val="15"/>
        </w:rPr>
        <w:t>p</w:t>
      </w:r>
      <w:r w:rsidRPr="003B573A">
        <w:rPr>
          <w:szCs w:val="15"/>
        </w:rPr>
        <w:t>ment)</w:t>
      </w:r>
      <w:r w:rsidRPr="003B573A" w:rsidR="00577C31">
        <w:rPr>
          <w:szCs w:val="15"/>
        </w:rPr>
        <w:t>,</w:t>
      </w:r>
    </w:p>
    <w:p w:rsidR="00577C31" w:rsidRPr="003B573A" w:rsidP="00577C31" w14:paraId="410CB3F7" w14:textId="57231ED6">
      <w:pPr>
        <w:pStyle w:val="Bodytext2"/>
        <w:numPr>
          <w:ilvl w:val="0"/>
          <w:numId w:val="2"/>
        </w:numPr>
        <w:rPr>
          <w:szCs w:val="15"/>
        </w:rPr>
      </w:pPr>
      <w:r w:rsidRPr="003B573A">
        <w:rPr>
          <w:szCs w:val="15"/>
        </w:rPr>
        <w:t>determining the length of lease terms (Note 3.4. Leases),</w:t>
      </w:r>
    </w:p>
    <w:p w:rsidR="00577C31" w:rsidRPr="003B573A" w:rsidP="00577C31" w14:paraId="3C5F83FC" w14:textId="5FE3C93B">
      <w:pPr>
        <w:pStyle w:val="Bodytext2"/>
        <w:numPr>
          <w:ilvl w:val="0"/>
          <w:numId w:val="2"/>
        </w:numPr>
        <w:rPr>
          <w:szCs w:val="15"/>
        </w:rPr>
      </w:pPr>
      <w:r w:rsidRPr="003B573A">
        <w:rPr>
          <w:szCs w:val="15"/>
        </w:rPr>
        <w:t>valuation of inventories (Note 4.1. Inventories),</w:t>
      </w:r>
    </w:p>
    <w:p w:rsidR="00984CDF" w:rsidRPr="003B573A" w:rsidP="00CE6A42" w14:paraId="14FF3EA4" w14:textId="16B5EA85">
      <w:pPr>
        <w:pStyle w:val="Bodytext2"/>
        <w:numPr>
          <w:ilvl w:val="0"/>
          <w:numId w:val="2"/>
        </w:numPr>
        <w:rPr>
          <w:szCs w:val="15"/>
        </w:rPr>
      </w:pPr>
      <w:r w:rsidRPr="003B573A">
        <w:rPr>
          <w:szCs w:val="15"/>
        </w:rPr>
        <w:t>valuation of trade receivables (</w:t>
      </w:r>
      <w:r w:rsidRPr="003B573A" w:rsidR="00577C31">
        <w:rPr>
          <w:szCs w:val="15"/>
        </w:rPr>
        <w:t>N</w:t>
      </w:r>
      <w:r w:rsidRPr="003B573A">
        <w:rPr>
          <w:szCs w:val="15"/>
        </w:rPr>
        <w:t xml:space="preserve">ote 4.2. Trade </w:t>
      </w:r>
      <w:r w:rsidRPr="003B573A">
        <w:rPr>
          <w:szCs w:val="15"/>
        </w:rPr>
        <w:t>receivables and contract assets and liabilities),</w:t>
      </w:r>
    </w:p>
    <w:p w:rsidR="00577C31" w:rsidRPr="003B573A" w:rsidP="00577C31" w14:paraId="6A6A8C1B" w14:textId="5A15B588">
      <w:pPr>
        <w:pStyle w:val="Bodytext2"/>
        <w:numPr>
          <w:ilvl w:val="0"/>
          <w:numId w:val="2"/>
        </w:numPr>
        <w:rPr>
          <w:szCs w:val="15"/>
        </w:rPr>
      </w:pPr>
      <w:r w:rsidRPr="003B573A">
        <w:rPr>
          <w:szCs w:val="15"/>
        </w:rPr>
        <w:t>recognition of warranty provisions and provisions for legal cases (</w:t>
      </w:r>
      <w:r w:rsidRPr="003B573A" w:rsidR="00FD200E">
        <w:rPr>
          <w:szCs w:val="15"/>
        </w:rPr>
        <w:t>N</w:t>
      </w:r>
      <w:r w:rsidRPr="003B573A">
        <w:rPr>
          <w:szCs w:val="15"/>
        </w:rPr>
        <w:t>ote 4.5. Provisions),</w:t>
      </w:r>
    </w:p>
    <w:p w:rsidR="00577C31" w:rsidRPr="003B573A" w:rsidP="00577C31" w14:paraId="30CE01DA" w14:textId="568E458D">
      <w:pPr>
        <w:pStyle w:val="Bodytext2"/>
        <w:numPr>
          <w:ilvl w:val="0"/>
          <w:numId w:val="2"/>
        </w:numPr>
        <w:rPr>
          <w:szCs w:val="15"/>
        </w:rPr>
      </w:pPr>
      <w:r w:rsidRPr="003B573A">
        <w:rPr>
          <w:szCs w:val="15"/>
        </w:rPr>
        <w:t xml:space="preserve">expected results on tax audits and </w:t>
      </w:r>
      <w:r>
        <w:rPr>
          <w:szCs w:val="15"/>
        </w:rPr>
        <w:t>deferred tax assets</w:t>
      </w:r>
      <w:r w:rsidRPr="003B573A">
        <w:rPr>
          <w:szCs w:val="15"/>
        </w:rPr>
        <w:t xml:space="preserve"> from tax losses (</w:t>
      </w:r>
      <w:r w:rsidRPr="003B573A" w:rsidR="00FD200E">
        <w:rPr>
          <w:szCs w:val="15"/>
        </w:rPr>
        <w:t>N</w:t>
      </w:r>
      <w:r w:rsidRPr="003B573A">
        <w:rPr>
          <w:szCs w:val="15"/>
        </w:rPr>
        <w:t>ote 4.6. Deferred taxes)</w:t>
      </w:r>
      <w:r w:rsidRPr="003B573A" w:rsidR="00FD200E">
        <w:rPr>
          <w:szCs w:val="15"/>
        </w:rPr>
        <w:t>, and</w:t>
      </w:r>
    </w:p>
    <w:p w:rsidR="00984CDF" w:rsidRPr="003B573A" w:rsidP="004E4A8F" w14:paraId="4F42A060" w14:textId="2D3E5A6B">
      <w:pPr>
        <w:pStyle w:val="Bodytext2"/>
        <w:numPr>
          <w:ilvl w:val="0"/>
          <w:numId w:val="2"/>
        </w:numPr>
        <w:rPr>
          <w:szCs w:val="15"/>
        </w:rPr>
      </w:pPr>
      <w:r w:rsidRPr="003B573A">
        <w:rPr>
          <w:szCs w:val="15"/>
        </w:rPr>
        <w:t>defined pensi</w:t>
      </w:r>
      <w:r w:rsidRPr="003B573A">
        <w:rPr>
          <w:szCs w:val="15"/>
        </w:rPr>
        <w:t>on benefit obligations (Note 4.7. Pension obligations),</w:t>
      </w:r>
    </w:p>
    <w:p w:rsidR="00FD200E" w:rsidRPr="003B573A" w:rsidP="00984CDF" w14:paraId="1CA08F71" w14:textId="77777777">
      <w:pPr>
        <w:pStyle w:val="Bodytext2"/>
        <w:rPr>
          <w:szCs w:val="15"/>
        </w:rPr>
      </w:pPr>
    </w:p>
    <w:p w:rsidR="00885DDC" w:rsidP="00984CDF" w14:paraId="268D8D4F" w14:textId="500513FE">
      <w:pPr>
        <w:pStyle w:val="Bodytext2"/>
        <w:rPr>
          <w:szCs w:val="15"/>
        </w:rPr>
      </w:pPr>
      <w:r w:rsidRPr="003B573A">
        <w:rPr>
          <w:szCs w:val="15"/>
        </w:rPr>
        <w:t>In addition, accounting for business combinations may require significant management judgement (</w:t>
      </w:r>
      <w:r>
        <w:rPr>
          <w:szCs w:val="15"/>
        </w:rPr>
        <w:t>N</w:t>
      </w:r>
      <w:r w:rsidRPr="003B573A">
        <w:rPr>
          <w:szCs w:val="15"/>
        </w:rPr>
        <w:t>ote 6.1. Acquisitions).</w:t>
      </w:r>
    </w:p>
    <w:p w:rsidR="00885DDC" w:rsidP="00984CDF" w14:paraId="1628884D" w14:textId="77777777">
      <w:pPr>
        <w:pStyle w:val="Bodytext2"/>
        <w:rPr>
          <w:szCs w:val="15"/>
        </w:rPr>
      </w:pPr>
    </w:p>
    <w:p w:rsidR="00984CDF" w:rsidRPr="00885DDC" w:rsidP="00885DDC" w14:paraId="7EB76531" w14:textId="5B320C9E">
      <w:pPr>
        <w:pStyle w:val="Bodytext2"/>
      </w:pPr>
      <w:r w:rsidRPr="00885DDC">
        <w:t>The COVID-19 pandemic has caused Wärtsilä to review the estimates and assumptions used in the preparation of the consolidated financial statements. The possible impact of the situation caused by the coronavirus pandemic on the relevant factors in each esti</w:t>
      </w:r>
      <w:r w:rsidRPr="00885DDC">
        <w:t>mate have been considered. The impact of the COVID-19 pandemic on estimates in the financial reporting rely on management’s best judgement.</w:t>
      </w:r>
      <w:r w:rsidRPr="00885DDC">
        <w:br w:type="column"/>
      </w:r>
    </w:p>
    <w:p w:rsidR="00184773" w:rsidP="00184773" w14:paraId="19994B38" w14:textId="77777777">
      <w:pPr>
        <w:pStyle w:val="Heading11"/>
        <w:rPr>
          <w:rFonts w:eastAsiaTheme="minorEastAsia"/>
          <w:lang w:eastAsia="fi-FI"/>
        </w:rPr>
      </w:pPr>
      <w:bookmarkStart w:id="1151" w:name="RG_MARKER_4194"/>
      <w:bookmarkStart w:id="1152" w:name="RG_MARKER_3743"/>
      <w:r>
        <w:t>2. GROUP FINANCIAL PERFORMANCE</w:t>
      </w:r>
      <w:bookmarkEnd w:id="1152"/>
      <w:bookmarkEnd w:id="1151"/>
    </w:p>
    <w:p w:rsidR="00184773" w:rsidP="00184773" w14:paraId="28E75240" w14:textId="77777777">
      <w:pPr>
        <w:pStyle w:val="Bodytext2"/>
      </w:pPr>
    </w:p>
    <w:p w:rsidR="00184773" w:rsidP="00184773" w14:paraId="4D4B2FD9" w14:textId="77777777">
      <w:pPr>
        <w:pStyle w:val="Heading12"/>
      </w:pPr>
      <w:r>
        <w:t>2.1. SEGMENT INFORMATION</w:t>
      </w:r>
    </w:p>
    <w:p w:rsidR="00745CC9" w:rsidRPr="00745CC9" w:rsidP="00745CC9" w14:paraId="74572A58" w14:textId="5A109883">
      <w:pPr>
        <w:pStyle w:val="Bodytext2"/>
      </w:pPr>
      <w:r w:rsidRPr="00745CC9">
        <w:t>From 1 January to 30 June 2020, Wärtsilä was organised</w:t>
      </w:r>
      <w:r w:rsidRPr="00745CC9">
        <w:t xml:space="preserve"> into three business areas: Wärtsilä Marine Business, Wärtsilä Energy Business, and Portfolio Business. Wärtsilä Marine Business and Wärtsilä Energy Business constituted Wärtsilä’s operating and reportable segments, while Portfolio Business was reported as</w:t>
      </w:r>
      <w:r w:rsidRPr="00745CC9">
        <w:t xml:space="preserve"> other business activities.</w:t>
      </w:r>
    </w:p>
    <w:p w:rsidR="00745CC9" w:rsidRPr="00745CC9" w:rsidP="00745CC9" w14:paraId="49B7B3E1" w14:textId="77777777">
      <w:pPr>
        <w:pStyle w:val="Bodytext2"/>
      </w:pPr>
    </w:p>
    <w:p w:rsidR="00745CC9" w:rsidRPr="00745CC9" w:rsidP="00745CC9" w14:paraId="19277BD6" w14:textId="4F295F72">
      <w:pPr>
        <w:pStyle w:val="Bodytext2"/>
      </w:pPr>
      <w:r w:rsidRPr="00745CC9">
        <w:t xml:space="preserve">Wärtsilä’s new organisational structure became operational on 1 July 2020. In the new organisational structure, </w:t>
      </w:r>
      <w:r w:rsidR="00CA53A8">
        <w:t xml:space="preserve">Wärtsilä </w:t>
      </w:r>
      <w:r w:rsidRPr="00745CC9">
        <w:t xml:space="preserve">Marine Power, </w:t>
      </w:r>
      <w:r w:rsidR="00CA53A8">
        <w:t xml:space="preserve">Wärtsilä </w:t>
      </w:r>
      <w:r w:rsidRPr="00745CC9">
        <w:t xml:space="preserve">Marine Systems, </w:t>
      </w:r>
      <w:r w:rsidR="00CA53A8">
        <w:t xml:space="preserve">Wärtsilä </w:t>
      </w:r>
      <w:r w:rsidRPr="00745CC9">
        <w:t xml:space="preserve">Voyage, and </w:t>
      </w:r>
      <w:r w:rsidR="00CA53A8">
        <w:t xml:space="preserve">Wärtsilä </w:t>
      </w:r>
      <w:r w:rsidRPr="00745CC9">
        <w:t>Energy constitute the reportable segm</w:t>
      </w:r>
      <w:r w:rsidRPr="00745CC9">
        <w:t xml:space="preserve">ents of the Group, while </w:t>
      </w:r>
      <w:r w:rsidR="00CA53A8">
        <w:t xml:space="preserve">Wärtsilä </w:t>
      </w:r>
      <w:r w:rsidRPr="00745CC9">
        <w:t>Portfolio Business continues to be reported as other business activities. The segments and other business activities cover both equipment sales and services for the respective business.</w:t>
      </w:r>
    </w:p>
    <w:p w:rsidR="00745CC9" w:rsidRPr="00745CC9" w:rsidP="00745CC9" w14:paraId="71411F95" w14:textId="77777777">
      <w:pPr>
        <w:pStyle w:val="Bodytext2"/>
      </w:pPr>
    </w:p>
    <w:p w:rsidR="00745CC9" w:rsidRPr="00745CC9" w:rsidP="00745CC9" w14:paraId="5D3A69F9" w14:textId="6A658DF7">
      <w:pPr>
        <w:pStyle w:val="Bodytext2"/>
      </w:pPr>
      <w:r w:rsidRPr="00745CC9">
        <w:t>Wärtsilä's highest operative decisi</w:t>
      </w:r>
      <w:r w:rsidRPr="00745CC9">
        <w:t>on maker (CODM, Chief Operating Decision Maker) is the President and CEO, with the support of the Board of Management, and in some cases the Board of Directors.</w:t>
      </w:r>
    </w:p>
    <w:p w:rsidR="00745CC9" w:rsidRPr="00745CC9" w:rsidP="00745CC9" w14:paraId="550419DE" w14:textId="77777777">
      <w:pPr>
        <w:pStyle w:val="Bodytext2"/>
      </w:pPr>
    </w:p>
    <w:p w:rsidR="00745CC9" w:rsidRPr="00745CC9" w:rsidP="00745CC9" w14:paraId="585CD55B" w14:textId="48E17E41">
      <w:pPr>
        <w:pStyle w:val="Bodytext2"/>
      </w:pPr>
      <w:r w:rsidRPr="00745CC9">
        <w:t>Marine Power, Marine Systems, Voyage, Energy, and Portfolio Business are each led by their Pre</w:t>
      </w:r>
      <w:r w:rsidRPr="00745CC9">
        <w:t>sident. Discrete financial information for each business is provided to the CODM to support decision-making. The segment information presented by Wärtsilä reflects internal management reporting. Segment information is reported to the level of operating res</w:t>
      </w:r>
      <w:r w:rsidRPr="00745CC9">
        <w:t>ult, as items below operating result are not allocated to the business</w:t>
      </w:r>
      <w:r w:rsidR="00A53AA9">
        <w:t>es.</w:t>
      </w:r>
    </w:p>
    <w:p w:rsidR="00745CC9" w:rsidRPr="00745CC9" w:rsidP="00745CC9" w14:paraId="0F648539" w14:textId="77777777">
      <w:pPr>
        <w:pStyle w:val="Bodytext2"/>
      </w:pPr>
    </w:p>
    <w:p w:rsidR="00745CC9" w:rsidRPr="00745CC9" w:rsidP="00745CC9" w14:paraId="7C71DB32" w14:textId="2F8F9DC8">
      <w:pPr>
        <w:pStyle w:val="Bodytext2"/>
      </w:pPr>
      <w:r w:rsidRPr="00745CC9">
        <w:t>Internal sales between segments and other business activities are not reported in management reporting, but revenue and costs of sales are booked directly to the respective customer</w:t>
      </w:r>
      <w:r w:rsidRPr="00745CC9">
        <w:t xml:space="preserve"> projects and orders. The main factors affecting the allocation of indirect and administration costs to the segments and other business activities are net sales and the number of personnel. Management considers these allocation principles to be the most su</w:t>
      </w:r>
      <w:r w:rsidRPr="00745CC9">
        <w:t>itable means for reflecting the costs carried by each segment and other business activities. The allocation principles are reviewed regularly.</w:t>
      </w:r>
    </w:p>
    <w:p w:rsidR="00745CC9" w:rsidRPr="00745CC9" w:rsidP="00745CC9" w14:paraId="33A4D979" w14:textId="77777777">
      <w:pPr>
        <w:pStyle w:val="Bodytext2"/>
      </w:pPr>
    </w:p>
    <w:p w:rsidR="00745CC9" w:rsidRPr="00745CC9" w:rsidP="00745CC9" w14:paraId="36F316E2" w14:textId="1CA7C1A6">
      <w:pPr>
        <w:pStyle w:val="Bodytext2"/>
      </w:pPr>
      <w:r w:rsidRPr="00745CC9">
        <w:t xml:space="preserve">The aim of Wärtsilä is to lead the industry’s transformation towards a Smart Marine Ecosystem. Building on </w:t>
      </w:r>
      <w:r w:rsidR="00091A0D">
        <w:t>the</w:t>
      </w:r>
      <w:r w:rsidRPr="00745CC9">
        <w:t xml:space="preserve"> s</w:t>
      </w:r>
      <w:r w:rsidRPr="00745CC9">
        <w:t>ound foundation of being a leading provider of innovative products, integrated solutions, and lifecycle services to the marine and oil &amp; gas industries, Wärtsilä aims to unlock new customer values through connectivity, digitalisation, and smart technology.</w:t>
      </w:r>
    </w:p>
    <w:p w:rsidR="00745CC9" w:rsidRPr="00745CC9" w:rsidP="00745CC9" w14:paraId="218CBF32" w14:textId="77777777">
      <w:pPr>
        <w:pStyle w:val="Bodytext2"/>
      </w:pPr>
    </w:p>
    <w:p w:rsidR="00745CC9" w:rsidRPr="00E21892" w:rsidP="00745CC9" w14:paraId="26C1B08C" w14:textId="1087998A">
      <w:pPr>
        <w:pStyle w:val="Bodytext2"/>
        <w:rPr>
          <w:sz w:val="2"/>
          <w:szCs w:val="2"/>
        </w:rPr>
      </w:pPr>
      <w:r w:rsidRPr="00745CC9">
        <w:t>Wärtsilä’s marine customer base covers all the main vessel segments, including traditional merchant vessels, gas carriers, cruise &amp; ferry, navy, and special vessels. In the oil &amp; gas industry, Wärtsilä is active in serving offshore installations and rela</w:t>
      </w:r>
      <w:r w:rsidRPr="00745CC9">
        <w:t>ted industry vessels, as well as land-based gas installations. Wärtsilä’s customers comprise ship owners, shipyards, and ship management companies.</w:t>
      </w:r>
      <w:r w:rsidR="00E21892">
        <w:br w:type="column"/>
      </w:r>
    </w:p>
    <w:p w:rsidR="00745CC9" w:rsidRPr="00745CC9" w:rsidP="00745CC9" w14:paraId="6F9EB988" w14:textId="2881479C">
      <w:pPr>
        <w:pStyle w:val="Bodytext2"/>
      </w:pPr>
      <w:r w:rsidRPr="00745CC9">
        <w:t>Energy leads the transition towards a 100% renewable energy future. Wärtsilä helps its customers unlock the</w:t>
      </w:r>
      <w:r w:rsidRPr="00745CC9">
        <w:t xml:space="preserve"> value of the energy transition by optimising their energy systems and future-proofing their assets.</w:t>
      </w:r>
    </w:p>
    <w:p w:rsidR="00745CC9" w:rsidRPr="00745CC9" w:rsidP="00745CC9" w14:paraId="02A4E36C" w14:textId="77777777">
      <w:pPr>
        <w:pStyle w:val="Bodytext2"/>
      </w:pPr>
    </w:p>
    <w:p w:rsidR="00745CC9" w:rsidRPr="00745CC9" w:rsidP="00745CC9" w14:paraId="6B0E637A" w14:textId="22C60432">
      <w:pPr>
        <w:pStyle w:val="Heading13"/>
      </w:pPr>
      <w:r>
        <w:t xml:space="preserve">Wärtsilä </w:t>
      </w:r>
      <w:r w:rsidRPr="00745CC9" w:rsidR="00B45B52">
        <w:t>Marine Power</w:t>
      </w:r>
    </w:p>
    <w:p w:rsidR="00745CC9" w:rsidRPr="00745CC9" w:rsidP="00745CC9" w14:paraId="424682C8" w14:textId="784DEC7C">
      <w:pPr>
        <w:pStyle w:val="Bodytext2"/>
      </w:pPr>
      <w:r w:rsidRPr="00745CC9">
        <w:t>Marine Power focuses on Wärtsilä’s comprehensive range of engine and propulsion solutions. Its offering</w:t>
      </w:r>
      <w:r w:rsidR="00091A0D">
        <w:t>, which includes</w:t>
      </w:r>
      <w:r w:rsidRPr="00745CC9">
        <w:t xml:space="preserve"> engines, gen</w:t>
      </w:r>
      <w:r w:rsidRPr="00745CC9">
        <w:t>erating sets, gearboxes, propulsion equipment, as well as LNG fuel handling, power management, and NOx reduction technologies</w:t>
      </w:r>
      <w:r w:rsidR="00091A0D">
        <w:t xml:space="preserve">, </w:t>
      </w:r>
      <w:r w:rsidRPr="00745CC9">
        <w:t>positions Marine Power as a leading partner for its customers in the decarbonisation of the maritime industry, particularly throu</w:t>
      </w:r>
      <w:r w:rsidRPr="00745CC9">
        <w:t>gh fuel flexibility and hybrid solutions.</w:t>
      </w:r>
    </w:p>
    <w:p w:rsidR="00745CC9" w:rsidRPr="00745CC9" w:rsidP="00745CC9" w14:paraId="052433D8" w14:textId="77777777">
      <w:pPr>
        <w:pStyle w:val="Bodytext2"/>
      </w:pPr>
    </w:p>
    <w:p w:rsidR="00745CC9" w:rsidRPr="00745CC9" w:rsidP="00745CC9" w14:paraId="26141CC2" w14:textId="6577039C">
      <w:pPr>
        <w:pStyle w:val="Bodytext2"/>
      </w:pPr>
      <w:r w:rsidRPr="00745CC9">
        <w:t>Marine Power has six business units: Power Supply, Propulsion, Parts, Performance, Projects, and Field Services &amp; Workshops. The Marine Power setup has been specifically designed to support its customers throughou</w:t>
      </w:r>
      <w:r w:rsidRPr="00745CC9">
        <w:t xml:space="preserve">t the entire lifecycle of their vessels: from designing, developing, and delivering high quality products and solutions that ensure superior performance and </w:t>
      </w:r>
      <w:r w:rsidR="00091A0D">
        <w:t xml:space="preserve">that </w:t>
      </w:r>
      <w:r w:rsidRPr="00745CC9">
        <w:t>are capable of meeting evolving environmental requirements, to assisting customers with a wide</w:t>
      </w:r>
      <w:r w:rsidRPr="00745CC9">
        <w:t xml:space="preserve"> service network supplying spare parts, competent field service personnel, and product and solution upgrades, as well as reducing operational risk.</w:t>
      </w:r>
    </w:p>
    <w:p w:rsidR="00745CC9" w:rsidRPr="00745CC9" w:rsidP="00745CC9" w14:paraId="793AE3D4" w14:textId="77777777">
      <w:pPr>
        <w:pStyle w:val="Bodytext2"/>
      </w:pPr>
    </w:p>
    <w:p w:rsidR="00745CC9" w:rsidRPr="00745CC9" w:rsidP="00745CC9" w14:paraId="6C9FF9BE" w14:textId="7CE1F934">
      <w:pPr>
        <w:pStyle w:val="Heading13"/>
      </w:pPr>
      <w:r>
        <w:t xml:space="preserve">Wärtsilä </w:t>
      </w:r>
      <w:r w:rsidRPr="00745CC9" w:rsidR="00B45B52">
        <w:t>Marine Systems</w:t>
      </w:r>
    </w:p>
    <w:p w:rsidR="00745CC9" w:rsidRPr="00745CC9" w:rsidP="00745CC9" w14:paraId="503CE1DD" w14:textId="634327B0">
      <w:pPr>
        <w:pStyle w:val="Bodytext2"/>
      </w:pPr>
      <w:r w:rsidRPr="00745CC9">
        <w:t>Marine Systems consists of four end-to-end business units: Exhaust Treatment, Gas S</w:t>
      </w:r>
      <w:r w:rsidRPr="00745CC9">
        <w:t>olutions, Marine Electrical Systems, and Shaft Line Solutions.</w:t>
      </w:r>
    </w:p>
    <w:p w:rsidR="00745CC9" w:rsidRPr="00745CC9" w:rsidP="00745CC9" w14:paraId="22566587" w14:textId="77777777">
      <w:pPr>
        <w:pStyle w:val="Bodytext2"/>
      </w:pPr>
    </w:p>
    <w:p w:rsidR="00745CC9" w:rsidRPr="00745CC9" w:rsidP="00745CC9" w14:paraId="4AB1AE3B" w14:textId="30A4CED1">
      <w:pPr>
        <w:pStyle w:val="Bodytext2"/>
      </w:pPr>
      <w:r w:rsidRPr="00745CC9">
        <w:t>Exhaust Treatment focuses on developing the exhaust gas cleaning business. Wärtsilä’s</w:t>
      </w:r>
      <w:r w:rsidRPr="00745CC9">
        <w:t xml:space="preserve"> exhaust gas cleaning technology is an economical and environmentally friendly solution for</w:t>
      </w:r>
      <w:r w:rsidR="00091A0D">
        <w:t xml:space="preserve"> addressing </w:t>
      </w:r>
      <w:r w:rsidRPr="00745CC9">
        <w:t>all existing</w:t>
      </w:r>
      <w:r w:rsidR="00091A0D">
        <w:t xml:space="preserve"> and anticipated</w:t>
      </w:r>
      <w:r w:rsidRPr="00745CC9">
        <w:t xml:space="preserve"> rules and regulations. Wärtsilä scrubber systems are designed to provide flexibility and reliable operations wherever custom</w:t>
      </w:r>
      <w:r w:rsidRPr="00745CC9">
        <w:t>ers operate.</w:t>
      </w:r>
    </w:p>
    <w:p w:rsidR="00745CC9" w:rsidRPr="00745CC9" w:rsidP="00745CC9" w14:paraId="7649BB06" w14:textId="77777777">
      <w:pPr>
        <w:pStyle w:val="Bodytext2"/>
      </w:pPr>
    </w:p>
    <w:p w:rsidR="00745CC9" w:rsidRPr="00745CC9" w:rsidP="00745CC9" w14:paraId="1D75EA32" w14:textId="48DBA2A7">
      <w:pPr>
        <w:pStyle w:val="Bodytext2"/>
      </w:pPr>
      <w:r w:rsidRPr="00745CC9">
        <w:t xml:space="preserve">Gas Solutions is the leading technology and service provider for the gas value chain, with a </w:t>
      </w:r>
      <w:r w:rsidR="00091A0D">
        <w:t>broad</w:t>
      </w:r>
      <w:r w:rsidRPr="00745CC9">
        <w:t xml:space="preserve"> range of products covering cargo handling systems for gas carriers, liquefaction and gasification systems for various applications, fuel system</w:t>
      </w:r>
      <w:r w:rsidRPr="00745CC9">
        <w:t>s for alternative engine configurations and fuels, and renewable gas systems with solutions for biogas upgrading and liquefaction.</w:t>
      </w:r>
    </w:p>
    <w:p w:rsidR="00745CC9" w:rsidRPr="00745CC9" w:rsidP="00745CC9" w14:paraId="52111000" w14:textId="77777777">
      <w:pPr>
        <w:pStyle w:val="Bodytext2"/>
      </w:pPr>
    </w:p>
    <w:p w:rsidR="00745CC9" w:rsidP="00745CC9" w14:paraId="4FA6550F" w14:textId="49ADE525">
      <w:pPr>
        <w:pStyle w:val="Bodytext2"/>
      </w:pPr>
      <w:r w:rsidRPr="00745CC9">
        <w:t>Marine Electrical Systems offers comprehensive electrical turnkey solutions to selected niche segments</w:t>
      </w:r>
      <w:r>
        <w:t>,</w:t>
      </w:r>
      <w:r w:rsidRPr="00745CC9">
        <w:t xml:space="preserve"> such as navy and sup</w:t>
      </w:r>
      <w:r w:rsidRPr="00745CC9">
        <w:t>er yachts, assuming responsibility for the entire project from basic design to commissioning.</w:t>
      </w:r>
    </w:p>
    <w:p w:rsidR="0017390C" w:rsidRPr="00745CC9" w:rsidP="00745CC9" w14:paraId="5311EA4E" w14:textId="77777777">
      <w:pPr>
        <w:pStyle w:val="Bodytext2"/>
      </w:pPr>
    </w:p>
    <w:p w:rsidR="00745CC9" w:rsidRPr="003E32F6" w:rsidP="00745CC9" w14:paraId="3B19F292" w14:textId="09B3DC5A">
      <w:pPr>
        <w:pStyle w:val="Bodytext2"/>
        <w:rPr>
          <w:sz w:val="2"/>
          <w:szCs w:val="2"/>
        </w:rPr>
      </w:pPr>
      <w:r w:rsidRPr="00745CC9">
        <w:t xml:space="preserve">Shaft Line Solutions (formerly Seals &amp; Bearings) comprises all capabilities required to provide complete integrated shaft line solutions from its global </w:t>
      </w:r>
      <w:r w:rsidRPr="00745CC9">
        <w:t>factories and service locations to customers in its core market segments, namely navy, merchant, and cruise.</w:t>
      </w:r>
      <w:r>
        <w:br w:type="column"/>
      </w:r>
    </w:p>
    <w:p w:rsidR="00745CC9" w:rsidRPr="00745CC9" w:rsidP="00745CC9" w14:paraId="3BE4183D" w14:textId="18C837F7">
      <w:pPr>
        <w:pStyle w:val="Heading13"/>
      </w:pPr>
      <w:r>
        <w:t xml:space="preserve">Wärtsilä </w:t>
      </w:r>
      <w:r w:rsidRPr="00745CC9" w:rsidR="00B45B52">
        <w:t>Voyage</w:t>
      </w:r>
    </w:p>
    <w:p w:rsidR="00745CC9" w:rsidRPr="00745CC9" w:rsidP="00745CC9" w14:paraId="3882AA50" w14:textId="56BFD493">
      <w:pPr>
        <w:pStyle w:val="Bodytext2"/>
      </w:pPr>
      <w:r w:rsidRPr="00745CC9">
        <w:t>Voyage helps transform the way vessels perform their voyage by leveraging the latest digital technologies to deliver a step-change</w:t>
      </w:r>
      <w:r w:rsidRPr="00745CC9">
        <w:t xml:space="preserve"> in safety, efficiency, reliability, and emissions. By combining bridge systems, cloud data management, data services, decision support tools, and access to real-time information, Voyage collaborates in creating the digital ecosystem of the future. Voyage </w:t>
      </w:r>
      <w:r w:rsidRPr="00745CC9">
        <w:t>has one of the largest installed bases and offerings of navigation, automation, simulation, and training solutions, a</w:t>
      </w:r>
      <w:r w:rsidR="00091A0D">
        <w:t>nd</w:t>
      </w:r>
      <w:r w:rsidRPr="00745CC9">
        <w:t xml:space="preserve"> ship traffic control solutions.</w:t>
      </w:r>
    </w:p>
    <w:p w:rsidR="00745CC9" w:rsidRPr="00745CC9" w:rsidP="00745CC9" w14:paraId="0E7C962B" w14:textId="77777777">
      <w:pPr>
        <w:pStyle w:val="Bodytext2"/>
      </w:pPr>
    </w:p>
    <w:p w:rsidR="00745CC9" w:rsidRPr="00745CC9" w:rsidP="00745CC9" w14:paraId="07CC83DA" w14:textId="5C999E4D">
      <w:pPr>
        <w:pStyle w:val="Bodytext2"/>
      </w:pPr>
      <w:r w:rsidRPr="00745CC9">
        <w:t xml:space="preserve">Serving the key market segments across cruise, ferry, merchant, navy, and non-vessel related segments, </w:t>
      </w:r>
      <w:r w:rsidRPr="00745CC9">
        <w:t>such as port authorities and maritime institutes, Voyage is active in both the newbuild and existing vessel markets. Voyage executes a growth strategy based on innovative product development, system integration, connectivity, remote operations, and cyber s</w:t>
      </w:r>
      <w:r w:rsidRPr="00745CC9">
        <w:t>ecurity, in line with the development of a Smart Marine Ecosystem.</w:t>
      </w:r>
    </w:p>
    <w:p w:rsidR="00745CC9" w:rsidRPr="00745CC9" w:rsidP="00745CC9" w14:paraId="0C5AD009" w14:textId="77777777">
      <w:pPr>
        <w:pStyle w:val="Bodytext2"/>
      </w:pPr>
    </w:p>
    <w:p w:rsidR="00745CC9" w:rsidRPr="00745CC9" w:rsidP="00745CC9" w14:paraId="4BEAEBEE" w14:textId="2F949AD1">
      <w:pPr>
        <w:pStyle w:val="Heading13"/>
      </w:pPr>
      <w:r>
        <w:t xml:space="preserve">Wärtsilä </w:t>
      </w:r>
      <w:r w:rsidRPr="00745CC9" w:rsidR="00B45B52">
        <w:t>Energy</w:t>
      </w:r>
    </w:p>
    <w:p w:rsidR="00745CC9" w:rsidRPr="00745CC9" w:rsidP="00745CC9" w14:paraId="0E69E9F9" w14:textId="12EB9781">
      <w:pPr>
        <w:pStyle w:val="Bodytext2"/>
      </w:pPr>
      <w:r w:rsidRPr="00745CC9">
        <w:t>Wärtsilä’s offering comprises flexible power plants, energy management and storage systems, as well as lifecycle services that enable increased efficiency and guaranteed pe</w:t>
      </w:r>
      <w:r w:rsidRPr="00745CC9">
        <w:t>rformance.</w:t>
      </w:r>
    </w:p>
    <w:p w:rsidR="00745CC9" w:rsidRPr="00745CC9" w:rsidP="00745CC9" w14:paraId="731FE61C" w14:textId="77777777">
      <w:pPr>
        <w:pStyle w:val="Bodytext2"/>
      </w:pPr>
    </w:p>
    <w:p w:rsidR="00745CC9" w:rsidRPr="00745CC9" w:rsidP="00745CC9" w14:paraId="1041A723" w14:textId="29CBAD7E">
      <w:pPr>
        <w:pStyle w:val="Bodytext2"/>
      </w:pPr>
      <w:r w:rsidRPr="00745CC9">
        <w:t>Wärtsilä’s three main customer segments in the energy markets are utilities, independent power producers, and industrial customers. Wärtsilä’s energy solutions are used for a wide variety of applications. These include baseload generation, capa</w:t>
      </w:r>
      <w:r w:rsidRPr="00745CC9">
        <w:t xml:space="preserve">city for grid stability, peaking and load-following generation, and for the integration of wind and solar power. Wärtsilä provides its customers with a comprehensive understanding of energy systems, including fully integrated assets and software, complete </w:t>
      </w:r>
      <w:r w:rsidRPr="00745CC9">
        <w:t>with value adding lifecycle services.</w:t>
      </w:r>
    </w:p>
    <w:p w:rsidR="00745CC9" w:rsidRPr="00745CC9" w:rsidP="00745CC9" w14:paraId="05CB9537" w14:textId="77777777">
      <w:pPr>
        <w:pStyle w:val="Bodytext2"/>
      </w:pPr>
    </w:p>
    <w:p w:rsidR="00745CC9" w:rsidRPr="00745CC9" w:rsidP="00745CC9" w14:paraId="41B5AD9A" w14:textId="73040F9A">
      <w:pPr>
        <w:pStyle w:val="Heading13"/>
      </w:pPr>
      <w:r>
        <w:t xml:space="preserve">Wärtsilä </w:t>
      </w:r>
      <w:r w:rsidRPr="00745CC9" w:rsidR="00B45B52">
        <w:t>Portfolio Business</w:t>
      </w:r>
    </w:p>
    <w:p w:rsidR="00A53AA9" w:rsidP="00745CC9" w14:paraId="31EB9448" w14:textId="0FDF1415">
      <w:pPr>
        <w:pStyle w:val="Bodytext2"/>
      </w:pPr>
      <w:r w:rsidRPr="00745CC9">
        <w:t>Wärtsilä reports Portfolio Business as other business activities.</w:t>
      </w:r>
    </w:p>
    <w:p w:rsidR="00601320" w:rsidP="00745CC9" w14:paraId="7C12318F" w14:textId="77777777">
      <w:pPr>
        <w:pStyle w:val="Bodytext2"/>
      </w:pPr>
    </w:p>
    <w:p w:rsidR="00A53AA9" w:rsidP="00A53AA9" w14:paraId="7303AA7A" w14:textId="3D86A976">
      <w:pPr>
        <w:pStyle w:val="Bodytext2"/>
      </w:pPr>
      <w:r w:rsidRPr="00A53AA9">
        <w:t>Portfolio Business consists of multiple business units, which are run independently with the aim of accelerating</w:t>
      </w:r>
      <w:r w:rsidR="00601320">
        <w:t xml:space="preserve"> </w:t>
      </w:r>
      <w:r w:rsidRPr="00A53AA9">
        <w:t>performan</w:t>
      </w:r>
      <w:r w:rsidRPr="00A53AA9">
        <w:t>ce improvement and unlocking value through divestments or other strategic alternatives. The business</w:t>
      </w:r>
      <w:r>
        <w:t xml:space="preserve"> </w:t>
      </w:r>
      <w:r w:rsidRPr="00A53AA9">
        <w:t>units included in Portfolio Business comprise Entertainment Systems, Special Products covering power converter</w:t>
      </w:r>
      <w:r>
        <w:t xml:space="preserve"> </w:t>
      </w:r>
      <w:r w:rsidRPr="00A53AA9">
        <w:t>products and UPS systems, Tank Control Syste</w:t>
      </w:r>
      <w:r w:rsidRPr="00A53AA9">
        <w:t>ms, Water &amp; Waste, as well as</w:t>
      </w:r>
      <w:r w:rsidR="00682DA4">
        <w:t xml:space="preserve"> American Hydro,</w:t>
      </w:r>
      <w:r w:rsidRPr="00A53AA9">
        <w:t xml:space="preserve"> the hydropower solutions and turbine</w:t>
      </w:r>
      <w:r>
        <w:t xml:space="preserve"> </w:t>
      </w:r>
      <w:r w:rsidRPr="00A53AA9">
        <w:t>services business</w:t>
      </w:r>
      <w:r w:rsidR="00682DA4">
        <w:t>.</w:t>
      </w:r>
    </w:p>
    <w:p w:rsidR="00A53AA9" w:rsidRPr="00A53AA9" w:rsidP="00A53AA9" w14:paraId="54FB3994" w14:textId="77777777">
      <w:pPr>
        <w:pStyle w:val="Bodytext2"/>
      </w:pPr>
    </w:p>
    <w:p w:rsidR="00394892" w:rsidP="00601320" w14:paraId="7043DB6E" w14:textId="2BCA053E">
      <w:pPr>
        <w:pStyle w:val="Bodytext2"/>
      </w:pPr>
      <w:r w:rsidRPr="00A53AA9">
        <w:t>Until 30 September 2020</w:t>
      </w:r>
      <w:r>
        <w:t>,</w:t>
      </w:r>
      <w:r w:rsidRPr="00A53AA9">
        <w:t xml:space="preserve"> Portfolio Business also included Wärtsilä JOVYATLAS GmbH and Wärtsilä Valves Ltd. On</w:t>
      </w:r>
      <w:r>
        <w:t xml:space="preserve"> </w:t>
      </w:r>
      <w:r w:rsidRPr="00A53AA9">
        <w:t>1 October, Wärtsilä divested 100% of the sh</w:t>
      </w:r>
      <w:r w:rsidRPr="00A53AA9">
        <w:t>ares of Wärtsilä JOVYATLAS and 100% of the shares of Wärtsilä</w:t>
      </w:r>
      <w:r>
        <w:t xml:space="preserve"> </w:t>
      </w:r>
      <w:r w:rsidRPr="00A53AA9">
        <w:t>Valves.</w:t>
      </w:r>
    </w:p>
    <w:p w:rsidR="00394892" w:rsidP="00601320" w14:paraId="77BFA0A8" w14:textId="77777777">
      <w:pPr>
        <w:pStyle w:val="Bodytext2"/>
      </w:pPr>
    </w:p>
    <w:p w:rsidR="00A53AA9" w:rsidRPr="003E32F6" w:rsidP="00601320" w14:paraId="0DA182F9" w14:textId="54191713">
      <w:pPr>
        <w:pStyle w:val="Bodytext2"/>
        <w:rPr>
          <w:sz w:val="2"/>
          <w:szCs w:val="2"/>
        </w:rPr>
      </w:pPr>
      <w:r w:rsidRPr="00A53AA9">
        <w:t xml:space="preserve">Portfolio Business also included Wärtsilä ELAC Nautik GmbH until the divestment of shares, which was </w:t>
      </w:r>
      <w:r w:rsidRPr="00DA07B0">
        <w:rPr>
          <w:lang w:val="en-GB"/>
        </w:rPr>
        <w:t>finalised on</w:t>
      </w:r>
      <w:r>
        <w:t xml:space="preserve"> </w:t>
      </w:r>
      <w:r w:rsidRPr="00A53AA9">
        <w:t>2 December 2020.</w:t>
      </w:r>
      <w:r>
        <w:br w:type="column"/>
      </w:r>
    </w:p>
    <w:p w:rsidR="00184773" w:rsidRPr="00601320" w:rsidP="00184773" w14:paraId="1AF0A640" w14:textId="77777777">
      <w:pPr>
        <w:pStyle w:val="Bodytext2"/>
      </w:pPr>
      <w:r w:rsidRPr="00601320">
        <w:t xml:space="preserve">The comparison figures for the segment reporting and </w:t>
      </w:r>
      <w:r w:rsidRPr="00601320">
        <w:t>service information have been restated to reflect the new reporting structure.</w:t>
      </w:r>
    </w:p>
    <w:p w:rsidR="00184773" w:rsidP="00184773" w14:paraId="1D269E93" w14:textId="77777777">
      <w:pPr>
        <w:pStyle w:val="Bodytext2"/>
        <w:rPr>
          <w:szCs w:val="15"/>
        </w:rPr>
      </w:pPr>
    </w:p>
    <w:tbl>
      <w:tblPr>
        <w:tblStyle w:val="TableNormal"/>
        <w:tblCaption w:val="Table_segment_information"/>
        <w:tblDescription w:val="MEUR"/>
        <w:tblW w:w="7350" w:type="dxa"/>
        <w:tblLayout w:type="fixed"/>
        <w:tblLook w:val="0600"/>
      </w:tblPr>
      <w:tblGrid>
        <w:gridCol w:w="4860"/>
        <w:gridCol w:w="1245"/>
        <w:gridCol w:w="1245"/>
      </w:tblGrid>
      <w:tr>
        <w:tblPrEx>
          <w:tblW w:w="7350" w:type="dxa"/>
          <w:tblLayout w:type="fixed"/>
          <w:tblLook w:val="0600"/>
        </w:tblPrEx>
        <w:trPr>
          <w:trHeight w:val="240"/>
        </w:trPr>
        <w:tc>
          <w:tcPr>
            <w:tcW w:w="486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center"/>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sales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1,923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808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952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248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1,620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1,779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00000"/>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00000"/>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181</w:t>
            </w:r>
          </w:p>
        </w:tc>
        <w:tc>
          <w:tcPr>
            <w:tcW w:w="1245" w:type="dxa"/>
            <w:tcBorders>
              <w:top w:val="single" w:sz="4" w:space="0" w:color="004A6B"/>
              <w:left w:val="nil"/>
              <w:bottom w:val="single" w:sz="8" w:space="0" w:color="000000"/>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00000"/>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00000"/>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4,604</w:t>
            </w:r>
          </w:p>
        </w:tc>
        <w:tc>
          <w:tcPr>
            <w:tcW w:w="1245" w:type="dxa"/>
            <w:tcBorders>
              <w:top w:val="single" w:sz="8" w:space="0" w:color="000000"/>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5,170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Depreciation, amortisation and impairment</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00000"/>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00000"/>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Share of result of associates and joint ventures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Operating result</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00000"/>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00000"/>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234</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Operating result as a percentage of net sales (%)</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5.6</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00000"/>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00000"/>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-16.2</w:t>
            </w:r>
          </w:p>
        </w:tc>
        <w:tc>
          <w:tcPr>
            <w:tcW w:w="1245" w:type="dxa"/>
            <w:tcBorders>
              <w:top w:val="single" w:sz="4" w:space="0" w:color="004A6B"/>
              <w:left w:val="nil"/>
              <w:bottom w:val="single" w:sz="8" w:space="0" w:color="000000"/>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00000"/>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00000"/>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5.1</w:t>
            </w:r>
          </w:p>
        </w:tc>
        <w:tc>
          <w:tcPr>
            <w:tcW w:w="1245" w:type="dxa"/>
            <w:tcBorders>
              <w:top w:val="single" w:sz="8" w:space="0" w:color="000000"/>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Comparable operating result</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00000"/>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00000"/>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275</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center"/>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Comparable operating result as a percentage of net sales (%)</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-16.5</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00000"/>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00000"/>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6.0</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8.8</w:t>
            </w:r>
          </w:p>
        </w:tc>
      </w:tr>
    </w:tbl>
    <w:p w:rsidR="00184773" w:rsidP="00184773" w14:paraId="661E0C62" w14:textId="77777777">
      <w:pPr>
        <w:pStyle w:val="Bodytext2"/>
        <w:rPr>
          <w:szCs w:val="15"/>
        </w:rPr>
      </w:pPr>
    </w:p>
    <w:p w:rsidR="00184773" w:rsidP="00184773" w14:paraId="29CDF720" w14:textId="77777777">
      <w:pPr>
        <w:pStyle w:val="Heading13"/>
      </w:pPr>
      <w:r>
        <w:t>Alternative performance measures</w:t>
      </w:r>
    </w:p>
    <w:p w:rsidR="00184773" w:rsidP="00184773" w14:paraId="5D8E5333" w14:textId="49A2C473">
      <w:pPr>
        <w:pStyle w:val="Bodytext2"/>
        <w:rPr>
          <w:szCs w:val="15"/>
        </w:rPr>
      </w:pPr>
      <w:r>
        <w:rPr>
          <w:szCs w:val="15"/>
        </w:rPr>
        <w:t>Wärtsilä provides certain financial performance measures, which are not defined by IFRS. These alternative performance measures are followed and used by management to measure the Group's performance and financial position</w:t>
      </w:r>
      <w:r w:rsidR="00091A0D">
        <w:rPr>
          <w:szCs w:val="15"/>
        </w:rPr>
        <w:t xml:space="preserve">, and </w:t>
      </w:r>
      <w:r>
        <w:rPr>
          <w:szCs w:val="15"/>
        </w:rPr>
        <w:t>also provide useful informati</w:t>
      </w:r>
      <w:r>
        <w:rPr>
          <w:szCs w:val="15"/>
        </w:rPr>
        <w:t>on to the capital markets.</w:t>
      </w:r>
    </w:p>
    <w:p w:rsidR="00184773" w:rsidP="00184773" w14:paraId="381ABDCB" w14:textId="77777777">
      <w:pPr>
        <w:pStyle w:val="Bodytext2"/>
        <w:rPr>
          <w:szCs w:val="15"/>
        </w:rPr>
      </w:pPr>
    </w:p>
    <w:p w:rsidR="00184773" w:rsidP="00184773" w14:paraId="74EFEEA8" w14:textId="77777777">
      <w:pPr>
        <w:pStyle w:val="Bodytext2"/>
        <w:rPr>
          <w:szCs w:val="15"/>
        </w:rPr>
      </w:pPr>
      <w:r>
        <w:rPr>
          <w:szCs w:val="15"/>
        </w:rPr>
        <w:t xml:space="preserve">The alternative performance measures should not be evaluated in isolation from the corresponding IFRS measures. The alternative performance measure calculation definitions are disclosed in Calculations of financial ratios. </w:t>
      </w:r>
    </w:p>
    <w:p w:rsidR="00184773" w:rsidP="00184773" w14:paraId="33A3A209" w14:textId="77777777">
      <w:pPr>
        <w:pStyle w:val="Bodytext2"/>
        <w:rPr>
          <w:szCs w:val="15"/>
        </w:rPr>
      </w:pPr>
    </w:p>
    <w:p w:rsidR="00184773" w:rsidP="00184773" w14:paraId="278C089D" w14:textId="31043570">
      <w:pPr>
        <w:pStyle w:val="Bodytext2"/>
        <w:rPr>
          <w:szCs w:val="15"/>
        </w:rPr>
      </w:pPr>
      <w:r>
        <w:rPr>
          <w:szCs w:val="15"/>
        </w:rPr>
        <w:t>Wär</w:t>
      </w:r>
      <w:r>
        <w:rPr>
          <w:szCs w:val="15"/>
        </w:rPr>
        <w:t>tsilä discloses certain comparable performance measures to enhance comparability between periods. Certain income and expenses are presented as items affecting comparability when they have significant impact on the consolidated statement of income. Items af</w:t>
      </w:r>
      <w:r>
        <w:rPr>
          <w:szCs w:val="15"/>
        </w:rPr>
        <w:t xml:space="preserve">fecting comparability consist of income and expenses, which result from restructuring activities aiming to adjust the capacity of Wärtsilä’s operations. They may also include other income and expenses incurred outside Wärtsilä’s normal course of business, </w:t>
      </w:r>
      <w:r>
        <w:rPr>
          <w:szCs w:val="15"/>
        </w:rPr>
        <w:t>such as impairment charges, acquisition related costs, settlements recorded as a result of legal proceedings with third parties, or unforeseen obligations from earlier discontinued businesses.</w:t>
      </w:r>
    </w:p>
    <w:p w:rsidR="00184773" w:rsidP="00184773" w14:paraId="4233449A" w14:textId="77777777">
      <w:pPr>
        <w:pStyle w:val="Bodytext2"/>
        <w:rPr>
          <w:szCs w:val="15"/>
        </w:rPr>
      </w:pPr>
    </w:p>
    <w:p w:rsidR="00184773" w:rsidP="00184773" w14:paraId="43DBB26B" w14:textId="042F06E9">
      <w:pPr>
        <w:pStyle w:val="Bodytext2"/>
        <w:rPr>
          <w:szCs w:val="15"/>
        </w:rPr>
      </w:pPr>
      <w:r>
        <w:rPr>
          <w:szCs w:val="15"/>
        </w:rPr>
        <w:t>The reconciliation of the comparable operating result to the o</w:t>
      </w:r>
      <w:r>
        <w:rPr>
          <w:szCs w:val="15"/>
        </w:rPr>
        <w:t>perating result is presented in the table below.</w:t>
      </w:r>
    </w:p>
    <w:p w:rsidR="00184773" w:rsidP="00184773" w14:paraId="5E5890FB" w14:textId="77777777">
      <w:pPr>
        <w:pStyle w:val="Bodytext2"/>
        <w:rPr>
          <w:szCs w:val="15"/>
        </w:rPr>
      </w:pPr>
    </w:p>
    <w:p w:rsidR="00184773" w:rsidP="00184773" w14:paraId="06BECC6C" w14:textId="77777777">
      <w:pPr>
        <w:pStyle w:val="Heading13"/>
      </w:pPr>
      <w:r>
        <w:t xml:space="preserve">Measures of profit and items affecting comparability </w:t>
      </w:r>
    </w:p>
    <w:p w:rsidR="00184773" w:rsidP="00184773" w14:paraId="60B4F98A" w14:textId="77777777">
      <w:pPr>
        <w:pStyle w:val="Bodytext2"/>
        <w:rPr>
          <w:szCs w:val="15"/>
        </w:rPr>
      </w:pPr>
    </w:p>
    <w:tbl>
      <w:tblPr>
        <w:tblStyle w:val="TableNormal"/>
        <w:tblCaption w:val="Table_NRI"/>
        <w:tblDescription w:val="Measures of profit and items affecting comparability"/>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Comparable adjusted EBITA</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308</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Purchase price allocation amortisation</w:t>
            </w:r>
          </w:p>
        </w:tc>
        <w:tc>
          <w:tcPr>
            <w:tcW w:w="124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Comparable operating result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275</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Items affecting comparability:</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nil"/>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Social plan costs</w:t>
            </w:r>
          </w:p>
        </w:tc>
        <w:tc>
          <w:tcPr>
            <w:tcW w:w="1245" w:type="dxa"/>
            <w:tcBorders>
              <w:top w:val="nil"/>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245"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Impairment and write-downs</w:t>
            </w:r>
          </w:p>
        </w:tc>
        <w:tc>
          <w:tcPr>
            <w:tcW w:w="124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124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Profits and losses from disposals</w:t>
            </w:r>
          </w:p>
        </w:tc>
        <w:tc>
          <w:tcPr>
            <w:tcW w:w="124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8" w:space="0" w:color="000000"/>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costs</w:t>
            </w:r>
          </w:p>
        </w:tc>
        <w:tc>
          <w:tcPr>
            <w:tcW w:w="1245" w:type="dxa"/>
            <w:tcBorders>
              <w:top w:val="single" w:sz="4" w:space="0" w:color="004A6B"/>
              <w:left w:val="nil"/>
              <w:bottom w:val="single" w:sz="8" w:space="0" w:color="000000"/>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1245" w:type="dxa"/>
            <w:tcBorders>
              <w:top w:val="single" w:sz="4" w:space="0" w:color="004A6B"/>
              <w:left w:val="nil"/>
              <w:bottom w:val="single" w:sz="8" w:space="0" w:color="000000"/>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Items affecting comparability, total</w:t>
            </w:r>
          </w:p>
        </w:tc>
        <w:tc>
          <w:tcPr>
            <w:tcW w:w="12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w:t>
            </w:r>
          </w:p>
        </w:tc>
        <w:tc>
          <w:tcPr>
            <w:tcW w:w="12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Operating result</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234</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362</w:t>
            </w:r>
          </w:p>
        </w:tc>
      </w:tr>
    </w:tbl>
    <w:p w:rsidR="00184773" w:rsidP="00184773" w14:paraId="58C44A5E" w14:textId="77777777">
      <w:pPr>
        <w:pStyle w:val="Bodytext2"/>
        <w:rPr>
          <w:szCs w:val="15"/>
        </w:rPr>
      </w:pPr>
    </w:p>
    <w:p w:rsidR="00184773" w:rsidP="00184773" w14:paraId="3524C72A" w14:textId="77777777">
      <w:pPr>
        <w:pStyle w:val="Heading13"/>
      </w:pPr>
      <w:r>
        <w:t>Entity wide information</w:t>
      </w:r>
    </w:p>
    <w:p w:rsidR="004619B5" w:rsidP="004619B5" w14:paraId="2899D07D" w14:textId="4FE3DB00">
      <w:pPr>
        <w:pStyle w:val="Bodytext2"/>
      </w:pPr>
      <w:r w:rsidRPr="004619B5">
        <w:t>In addition to segment information, Wärtsilä reports the service</w:t>
      </w:r>
      <w:r>
        <w:t xml:space="preserve"> net sales</w:t>
      </w:r>
      <w:r w:rsidRPr="004619B5">
        <w:t xml:space="preserve"> for all segments and for other busine</w:t>
      </w:r>
      <w:r w:rsidRPr="004619B5">
        <w:t>ss activities.</w:t>
      </w:r>
    </w:p>
    <w:p w:rsidR="004619B5" w:rsidRPr="004619B5" w:rsidP="004619B5" w14:paraId="23210C6B" w14:textId="77777777">
      <w:pPr>
        <w:pStyle w:val="Bodytext2"/>
      </w:pPr>
    </w:p>
    <w:p w:rsidR="00E0053B" w:rsidP="00E0053B" w14:paraId="7D8A1DB3" w14:textId="4B916FB7">
      <w:pPr>
        <w:pStyle w:val="Bodytext2"/>
      </w:pPr>
      <w:r w:rsidRPr="004619B5">
        <w:t>Wärtsilä continues to report information for the geographical areas</w:t>
      </w:r>
      <w:r>
        <w:t xml:space="preserve"> Finland, other </w:t>
      </w:r>
      <w:r w:rsidRPr="004619B5">
        <w:t>Europe</w:t>
      </w:r>
      <w:r>
        <w:t>an countries</w:t>
      </w:r>
      <w:r w:rsidRPr="004619B5">
        <w:t xml:space="preserve">, Asia, the Americas, and other. </w:t>
      </w:r>
      <w:r w:rsidRPr="00E0053B">
        <w:t>In the geographical information</w:t>
      </w:r>
      <w:r>
        <w:t xml:space="preserve"> provided,</w:t>
      </w:r>
      <w:r w:rsidRPr="00E0053B">
        <w:t xml:space="preserve"> net sales</w:t>
      </w:r>
      <w:r>
        <w:t xml:space="preserve"> </w:t>
      </w:r>
      <w:r w:rsidRPr="00E0053B">
        <w:t>are split by customer destination and non-current asse</w:t>
      </w:r>
      <w:r w:rsidRPr="00E0053B">
        <w:t>ts by origin. Non-current assets consist of goodwill, intangible assets, property</w:t>
      </w:r>
      <w:r>
        <w:t xml:space="preserve">, </w:t>
      </w:r>
      <w:r w:rsidRPr="00E0053B">
        <w:t>plant and equipment, right-of-use assets, and investments in associates and joint ventures.</w:t>
      </w:r>
    </w:p>
    <w:p w:rsidR="004619B5" w:rsidRPr="004619B5" w:rsidP="004619B5" w14:paraId="22AF382D" w14:textId="77777777">
      <w:pPr>
        <w:pStyle w:val="Bodytext2"/>
      </w:pPr>
    </w:p>
    <w:p w:rsidR="00184773" w:rsidP="00184773" w14:paraId="7D0494D5" w14:textId="77777777">
      <w:pPr>
        <w:pStyle w:val="Heading13"/>
      </w:pPr>
      <w:r>
        <w:t>Geographical information</w:t>
      </w:r>
    </w:p>
    <w:p w:rsidR="00184773" w:rsidRPr="003E32F6" w:rsidP="00184773" w14:paraId="19DF8824" w14:textId="7D7806DA">
      <w:pPr>
        <w:pStyle w:val="Bodytext2"/>
        <w:rPr>
          <w:sz w:val="2"/>
          <w:szCs w:val="2"/>
        </w:rPr>
      </w:pPr>
      <w:r>
        <w:rPr>
          <w:szCs w:val="15"/>
        </w:rPr>
        <w:t>During the financial period 1 January - 31 December 202</w:t>
      </w:r>
      <w:r>
        <w:rPr>
          <w:szCs w:val="15"/>
        </w:rPr>
        <w:t>0 and 1 January - 31 December 2019 Wärtsilä did not have any individual significant customers or countries. Of the total net sales, sales to the USA represented 11% (11) and sales to China 10% (11).</w:t>
      </w:r>
      <w:r>
        <w:rPr>
          <w:szCs w:val="15"/>
        </w:rPr>
        <w:br w:type="column"/>
      </w:r>
    </w:p>
    <w:tbl>
      <w:tblPr>
        <w:tblStyle w:val="TableNormal"/>
        <w:tblCaption w:val="Table_Geographical_information"/>
        <w:tblDescription w:val="MEUR"/>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sales</w:t>
            </w: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Finland</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98</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European countries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1,445</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1,612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Asia</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1,570</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1,968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Americas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1,077</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1,098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415</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4,604</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5,170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Finland</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329</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European countries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1,515</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1,595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Asia</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97</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Americas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235</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2,183</w:t>
            </w:r>
          </w:p>
        </w:tc>
        <w:tc>
          <w:tcPr>
            <w:tcW w:w="124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2,310</w:t>
            </w:r>
          </w:p>
        </w:tc>
      </w:tr>
    </w:tbl>
    <w:p w:rsidR="00184773" w:rsidP="00184773" w14:paraId="3EFFA501" w14:textId="77777777">
      <w:pPr>
        <w:pStyle w:val="Bodytext2"/>
        <w:rPr>
          <w:szCs w:val="15"/>
        </w:rPr>
      </w:pPr>
    </w:p>
    <w:p w:rsidR="00184773" w:rsidP="00184773" w14:paraId="7069EE81" w14:textId="5243DC8D">
      <w:pPr>
        <w:pStyle w:val="Heading13"/>
      </w:pPr>
      <w:r>
        <w:t>Service net sales</w:t>
      </w:r>
    </w:p>
    <w:p w:rsidR="00184773" w:rsidP="00184773" w14:paraId="2AEFAE38" w14:textId="77777777">
      <w:pPr>
        <w:pStyle w:val="Bodytext2"/>
        <w:rPr>
          <w:szCs w:val="15"/>
        </w:rPr>
      </w:pPr>
    </w:p>
    <w:tbl>
      <w:tblPr>
        <w:tblStyle w:val="TableNormal"/>
        <w:tblCaption w:val="Table_Service_information"/>
        <w:tblDescription w:val="Service information"/>
        <w:tblW w:w="7350" w:type="dxa"/>
        <w:tblLayout w:type="fixed"/>
        <w:tblLook w:val="0600"/>
      </w:tblPr>
      <w:tblGrid>
        <w:gridCol w:w="4860"/>
        <w:gridCol w:w="1245"/>
        <w:gridCol w:w="1245"/>
      </w:tblGrid>
      <w:tr>
        <w:tblPrEx>
          <w:tblW w:w="7350" w:type="dxa"/>
          <w:tblLayout w:type="fixed"/>
          <w:tblLook w:val="0600"/>
        </w:tblPrEx>
        <w:trPr>
          <w:trHeight w:val="240"/>
        </w:trPr>
        <w:tc>
          <w:tcPr>
            <w:tcW w:w="486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sales</w:t>
            </w: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 service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1,096</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1,279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 service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 service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85</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 service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782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802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 service</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74</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2,255</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2,505</w:t>
            </w:r>
          </w:p>
        </w:tc>
      </w:tr>
    </w:tbl>
    <w:p/>
    <w:p w:rsidR="009275CE" w:rsidRPr="009275CE" w:rsidP="009275CE" w14:paraId="22381B99" w14:textId="77777777">
      <w:pPr>
        <w:pStyle w:val="Heading12"/>
      </w:pPr>
      <w:bookmarkStart w:id="1153" w:name="RG_MARKER_4193"/>
      <w:r w:rsidRPr="009275CE">
        <w:t>2.2. REVENUE RECOGNITION</w:t>
      </w:r>
      <w:bookmarkEnd w:id="1153"/>
    </w:p>
    <w:tbl>
      <w:tblPr>
        <w:tblStyle w:val="TableGrid"/>
        <w:tblW w:w="7371" w:type="dxa"/>
        <w:tblLook w:val="04A0"/>
      </w:tblPr>
      <w:tblGrid>
        <w:gridCol w:w="7371"/>
      </w:tblGrid>
      <w:tr w14:paraId="402E548B" w14:textId="77777777" w:rsidTr="009275CE">
        <w:tblPrEx>
          <w:tblW w:w="7371" w:type="dxa"/>
          <w:tblLook w:val="04A0"/>
        </w:tblPrEx>
        <w:tc>
          <w:tcPr>
            <w:tcW w:w="7371" w:type="dxa"/>
            <w:tcBorders>
              <w:top w:val="nil"/>
              <w:left w:val="nil"/>
              <w:bottom w:val="nil"/>
              <w:right w:val="nil"/>
            </w:tcBorders>
            <w:shd w:val="clear" w:color="auto" w:fill="B6C8D1"/>
          </w:tcPr>
          <w:p w:rsidR="009275CE" w:rsidRPr="00106A19" w:rsidP="009275CE" w14:paraId="5D877B72" w14:textId="77777777">
            <w:pPr>
              <w:pStyle w:val="Heading13"/>
              <w:rPr>
                <w:lang w:val="en-GB"/>
              </w:rPr>
            </w:pPr>
            <w:r w:rsidRPr="00106A19">
              <w:rPr>
                <w:lang w:val="en-GB"/>
              </w:rPr>
              <w:t>Accounting principles</w:t>
            </w:r>
          </w:p>
          <w:p w:rsidR="009275CE" w:rsidRPr="00106A19" w:rsidP="009275CE" w14:paraId="3197AD77" w14:textId="48207FDF">
            <w:pPr>
              <w:pStyle w:val="Bodytext2"/>
              <w:rPr>
                <w:lang w:val="en-GB"/>
              </w:rPr>
            </w:pPr>
            <w:r w:rsidRPr="00106A19">
              <w:rPr>
                <w:lang w:val="en-GB"/>
              </w:rPr>
              <w:t xml:space="preserve">Revenue is presented net of indirect sales taxes, penalties and discounts. Revenue is recognised when control of the goods or services is transferred to the customer at an amount that reflects the consideration to which the Group expects to be entitled in </w:t>
            </w:r>
            <w:r w:rsidRPr="00106A19">
              <w:rPr>
                <w:lang w:val="en-GB"/>
              </w:rPr>
              <w:t xml:space="preserve">exchange for those goods and services. The transaction price may include variable considerations, such as penalties, performance bonuses and discounts. Revenue recognised by the reporting date corresponds to the benefit of the service provided by Wärtsilä </w:t>
            </w:r>
            <w:r w:rsidRPr="00106A19">
              <w:rPr>
                <w:lang w:val="en-GB"/>
              </w:rPr>
              <w:t>to the customer.</w:t>
            </w:r>
          </w:p>
          <w:p w:rsidR="009275CE" w:rsidRPr="00106A19" w:rsidP="009275CE" w14:paraId="22E67B09" w14:textId="77777777">
            <w:pPr>
              <w:pStyle w:val="Bodytext2"/>
              <w:rPr>
                <w:lang w:val="en-GB"/>
              </w:rPr>
            </w:pPr>
          </w:p>
          <w:p w:rsidR="009275CE" w:rsidRPr="00106A19" w:rsidP="009275CE" w14:paraId="7F0AC2B6" w14:textId="62D12A5C">
            <w:pPr>
              <w:pStyle w:val="Bodytext2"/>
              <w:rPr>
                <w:lang w:val="en-GB"/>
              </w:rPr>
            </w:pPr>
            <w:r w:rsidRPr="00106A19">
              <w:rPr>
                <w:lang w:val="en-GB"/>
              </w:rPr>
              <w:t>The Group recognises revenue when it satisfies an identified performance obligation by transferring promised goods or service</w:t>
            </w:r>
            <w:r w:rsidRPr="00106A19" w:rsidR="000666DA">
              <w:rPr>
                <w:lang w:val="en-GB"/>
              </w:rPr>
              <w:t>s</w:t>
            </w:r>
            <w:r w:rsidRPr="00106A19">
              <w:rPr>
                <w:lang w:val="en-GB"/>
              </w:rPr>
              <w:t xml:space="preserve"> to the customer. Goods and services are generally considered to be transferred when the customer obtains contro</w:t>
            </w:r>
            <w:r w:rsidRPr="00106A19">
              <w:rPr>
                <w:lang w:val="en-GB"/>
              </w:rPr>
              <w:t xml:space="preserve">l </w:t>
            </w:r>
            <w:r w:rsidR="00FB4D9C">
              <w:rPr>
                <w:lang w:val="en-GB"/>
              </w:rPr>
              <w:t>of them</w:t>
            </w:r>
            <w:r w:rsidRPr="00106A19">
              <w:rPr>
                <w:lang w:val="en-GB"/>
              </w:rPr>
              <w:t xml:space="preserve">. </w:t>
            </w:r>
            <w:r w:rsidR="00FB4D9C">
              <w:rPr>
                <w:lang w:val="en-GB"/>
              </w:rPr>
              <w:t>Such</w:t>
            </w:r>
            <w:r w:rsidRPr="00106A19">
              <w:rPr>
                <w:lang w:val="en-GB"/>
              </w:rPr>
              <w:t xml:space="preserve"> control is transferred either</w:t>
            </w:r>
            <w:r w:rsidRPr="00106A19" w:rsidR="000666DA">
              <w:rPr>
                <w:lang w:val="en-GB"/>
              </w:rPr>
              <w:t xml:space="preserve"> at a</w:t>
            </w:r>
            <w:r w:rsidRPr="00106A19">
              <w:rPr>
                <w:lang w:val="en-GB"/>
              </w:rPr>
              <w:t xml:space="preserve"> point in time or over time.</w:t>
            </w:r>
          </w:p>
          <w:p w:rsidR="009275CE" w:rsidRPr="00106A19" w:rsidP="009275CE" w14:paraId="5ADCB408" w14:textId="77777777">
            <w:pPr>
              <w:pStyle w:val="Bodytext2"/>
              <w:rPr>
                <w:lang w:val="en-GB"/>
              </w:rPr>
            </w:pPr>
          </w:p>
          <w:p w:rsidR="009275CE" w:rsidRPr="00106A19" w:rsidP="009275CE" w14:paraId="5FF370BE" w14:textId="3D5B5683">
            <w:pPr>
              <w:pStyle w:val="Bodytext2"/>
              <w:rPr>
                <w:lang w:val="en-GB"/>
              </w:rPr>
            </w:pPr>
            <w:r w:rsidRPr="00106A19">
              <w:rPr>
                <w:lang w:val="en-GB"/>
              </w:rPr>
              <w:t>Revenue from contracts with customers is derived from four revenue types. All these revenue types are represented within all reportable segments</w:t>
            </w:r>
            <w:r w:rsidRPr="00106A19" w:rsidR="000666DA">
              <w:rPr>
                <w:lang w:val="en-GB"/>
              </w:rPr>
              <w:t xml:space="preserve"> and other business activities</w:t>
            </w:r>
            <w:r w:rsidRPr="00106A19">
              <w:rPr>
                <w:lang w:val="en-GB"/>
              </w:rPr>
              <w:t xml:space="preserve">: </w:t>
            </w:r>
            <w:r w:rsidRPr="00106A19">
              <w:rPr>
                <w:lang w:val="en-GB"/>
              </w:rPr>
              <w:t>Marine Power, Marine Systems, Voyage</w:t>
            </w:r>
            <w:r w:rsidRPr="00106A19" w:rsidR="000666DA">
              <w:rPr>
                <w:lang w:val="en-GB"/>
              </w:rPr>
              <w:t>,</w:t>
            </w:r>
            <w:r w:rsidRPr="00106A19">
              <w:rPr>
                <w:lang w:val="en-GB"/>
              </w:rPr>
              <w:t xml:space="preserve"> Energy and Portfolio Business.</w:t>
            </w:r>
          </w:p>
          <w:p w:rsidR="009275CE" w:rsidRPr="00106A19" w:rsidP="009275CE" w14:paraId="19392110" w14:textId="77777777">
            <w:pPr>
              <w:pStyle w:val="Bodytext2"/>
              <w:rPr>
                <w:lang w:val="en-GB"/>
              </w:rPr>
            </w:pPr>
          </w:p>
          <w:p w:rsidR="009275CE" w:rsidRPr="00106A19" w:rsidP="009275CE" w14:paraId="3FB615D7" w14:textId="776924E2">
            <w:pPr>
              <w:pStyle w:val="Bodytext2"/>
              <w:rPr>
                <w:lang w:val="en-GB"/>
              </w:rPr>
            </w:pPr>
            <w:r w:rsidRPr="00106A19">
              <w:rPr>
                <w:lang w:val="en-GB"/>
              </w:rPr>
              <w:t>Product sales consist of sales of spare parts and standard equipment</w:t>
            </w:r>
            <w:r w:rsidRPr="00106A19" w:rsidR="000666DA">
              <w:rPr>
                <w:lang w:val="en-GB"/>
              </w:rPr>
              <w:t>,</w:t>
            </w:r>
            <w:r w:rsidRPr="00106A19">
              <w:rPr>
                <w:lang w:val="en-GB"/>
              </w:rPr>
              <w:t xml:space="preserve"> for which the revenue is recognised at a point in time when the control of the product has transferred to</w:t>
            </w:r>
            <w:r w:rsidRPr="00106A19" w:rsidR="000666DA">
              <w:rPr>
                <w:lang w:val="en-GB"/>
              </w:rPr>
              <w:t xml:space="preserve"> the</w:t>
            </w:r>
            <w:r w:rsidRPr="00106A19">
              <w:rPr>
                <w:lang w:val="en-GB"/>
              </w:rPr>
              <w:t xml:space="preserve"> custom</w:t>
            </w:r>
            <w:r w:rsidRPr="00106A19">
              <w:rPr>
                <w:lang w:val="en-GB"/>
              </w:rPr>
              <w:t xml:space="preserve">er, in general </w:t>
            </w:r>
            <w:r w:rsidRPr="00106A19" w:rsidR="000666DA">
              <w:rPr>
                <w:lang w:val="en-GB"/>
              </w:rPr>
              <w:t>upon</w:t>
            </w:r>
            <w:r w:rsidRPr="00106A19">
              <w:rPr>
                <w:lang w:val="en-GB"/>
              </w:rPr>
              <w:t xml:space="preserve"> delivery of the goods. Product sale contracts generally include one performance obligation.</w:t>
            </w:r>
          </w:p>
          <w:p w:rsidR="009275CE" w:rsidRPr="00106A19" w:rsidP="009275CE" w14:paraId="4770A755" w14:textId="77777777">
            <w:pPr>
              <w:pStyle w:val="Bodytext2"/>
              <w:rPr>
                <w:lang w:val="en-GB"/>
              </w:rPr>
            </w:pPr>
          </w:p>
          <w:p w:rsidR="009275CE" w:rsidRPr="00106A19" w:rsidP="009275CE" w14:paraId="47D033A2" w14:textId="5A9DEFDE">
            <w:pPr>
              <w:pStyle w:val="Bodytext2"/>
              <w:rPr>
                <w:lang w:val="en-GB"/>
              </w:rPr>
            </w:pPr>
            <w:r w:rsidRPr="00106A19">
              <w:rPr>
                <w:lang w:val="en-GB"/>
              </w:rPr>
              <w:t>Goods and services -type of revenue involves short-term field service jobs, includ</w:t>
            </w:r>
            <w:r w:rsidR="00FB4D9C">
              <w:rPr>
                <w:lang w:val="en-GB"/>
              </w:rPr>
              <w:t>ing</w:t>
            </w:r>
            <w:r w:rsidRPr="00106A19">
              <w:rPr>
                <w:lang w:val="en-GB"/>
              </w:rPr>
              <w:t xml:space="preserve"> the delivery of a combination of service and equipment. T</w:t>
            </w:r>
            <w:r w:rsidRPr="00106A19">
              <w:rPr>
                <w:lang w:val="en-GB"/>
              </w:rPr>
              <w:t>he revenue is recognised at a point in time when the service is rendered. Goods and service -type contracts, such as service orders, generally include one performance obligation.</w:t>
            </w:r>
          </w:p>
          <w:p w:rsidR="009275CE" w:rsidRPr="00106A19" w:rsidP="009275CE" w14:paraId="195999D5" w14:textId="77777777">
            <w:pPr>
              <w:pStyle w:val="Bodytext2"/>
              <w:rPr>
                <w:lang w:val="en-GB"/>
              </w:rPr>
            </w:pPr>
          </w:p>
          <w:p w:rsidR="009275CE" w:rsidRPr="00106A19" w:rsidP="009275CE" w14:paraId="1D6F3AE6" w14:textId="583E0370">
            <w:pPr>
              <w:pStyle w:val="Bodytext2"/>
              <w:rPr>
                <w:lang w:val="en-GB"/>
              </w:rPr>
            </w:pPr>
            <w:r w:rsidRPr="00106A19">
              <w:rPr>
                <w:lang w:val="en-GB"/>
              </w:rPr>
              <w:t xml:space="preserve">Projects </w:t>
            </w:r>
            <w:r w:rsidR="00FB4D9C">
              <w:rPr>
                <w:lang w:val="en-GB"/>
              </w:rPr>
              <w:t xml:space="preserve">are of both </w:t>
            </w:r>
            <w:r w:rsidRPr="00106A19">
              <w:rPr>
                <w:lang w:val="en-GB"/>
              </w:rPr>
              <w:t xml:space="preserve">short- and long-term </w:t>
            </w:r>
            <w:r w:rsidR="00FB4D9C">
              <w:rPr>
                <w:lang w:val="en-GB"/>
              </w:rPr>
              <w:t>duration</w:t>
            </w:r>
            <w:r w:rsidRPr="00106A19">
              <w:rPr>
                <w:lang w:val="en-GB"/>
              </w:rPr>
              <w:t>. Depending on the contrac</w:t>
            </w:r>
            <w:r w:rsidRPr="00106A19">
              <w:rPr>
                <w:lang w:val="en-GB"/>
              </w:rPr>
              <w:t>t terms and the duration of the project, the revenue is recognised at a point in time or over time. In large-scale system or equipment deliveries which require engineering, for example power plants and gas solution</w:t>
            </w:r>
            <w:r>
              <w:rPr>
                <w:lang w:val="en-GB"/>
              </w:rPr>
              <w:t>s</w:t>
            </w:r>
            <w:r w:rsidRPr="00106A19">
              <w:rPr>
                <w:lang w:val="en-GB"/>
              </w:rPr>
              <w:t xml:space="preserve"> construction contracts, the revenue is r</w:t>
            </w:r>
            <w:r w:rsidRPr="00106A19">
              <w:rPr>
                <w:lang w:val="en-GB"/>
              </w:rPr>
              <w:t xml:space="preserve">ecognised over time as the asset produced does not have alternative use and the Group has </w:t>
            </w:r>
            <w:r w:rsidR="00FB4D9C">
              <w:rPr>
                <w:lang w:val="en-GB"/>
              </w:rPr>
              <w:t xml:space="preserve">an </w:t>
            </w:r>
            <w:r w:rsidRPr="00106A19">
              <w:rPr>
                <w:lang w:val="en-GB"/>
              </w:rPr>
              <w:t>enforceable right to payment. These contracts usually contain one performance obligation. Revenue from tailor-made equipment delivery projects is recognised at a p</w:t>
            </w:r>
            <w:r w:rsidRPr="00106A19">
              <w:rPr>
                <w:lang w:val="en-GB"/>
              </w:rPr>
              <w:t xml:space="preserve">oint in time when the control of the equipment is transferred, in general </w:t>
            </w:r>
            <w:r w:rsidRPr="00106A19" w:rsidR="000666DA">
              <w:rPr>
                <w:lang w:val="en-GB"/>
              </w:rPr>
              <w:t>upon</w:t>
            </w:r>
            <w:r w:rsidRPr="00106A19">
              <w:rPr>
                <w:lang w:val="en-GB"/>
              </w:rPr>
              <w:t xml:space="preserve"> delivery. These contracts generally represent one performance obligation, but under certain circumstances they can contain multiple performance obligations when a contract conta</w:t>
            </w:r>
            <w:r w:rsidRPr="00106A19">
              <w:rPr>
                <w:lang w:val="en-GB"/>
              </w:rPr>
              <w:t xml:space="preserve">ins multiple units of delivery. Revenue from </w:t>
            </w:r>
            <w:r>
              <w:rPr>
                <w:lang w:val="en-GB"/>
              </w:rPr>
              <w:t xml:space="preserve">service </w:t>
            </w:r>
            <w:r w:rsidRPr="00106A19">
              <w:rPr>
                <w:lang w:val="en-GB"/>
              </w:rPr>
              <w:t>related</w:t>
            </w:r>
            <w:r w:rsidRPr="00106A19">
              <w:rPr>
                <w:lang w:val="en-GB"/>
              </w:rPr>
              <w:t xml:space="preserve"> projects</w:t>
            </w:r>
            <w:r>
              <w:rPr>
                <w:lang w:val="en-GB"/>
              </w:rPr>
              <w:t>,</w:t>
            </w:r>
            <w:r w:rsidRPr="00106A19">
              <w:rPr>
                <w:lang w:val="en-GB"/>
              </w:rPr>
              <w:t xml:space="preserve"> </w:t>
            </w:r>
            <w:r w:rsidRPr="00106A19" w:rsidR="000666DA">
              <w:rPr>
                <w:lang w:val="en-GB"/>
              </w:rPr>
              <w:t>such as</w:t>
            </w:r>
            <w:r w:rsidRPr="00106A19">
              <w:rPr>
                <w:lang w:val="en-GB"/>
              </w:rPr>
              <w:t xml:space="preserve"> modernisation and upgrade projects is recognised over</w:t>
            </w:r>
            <w:r w:rsidRPr="00106A19" w:rsidR="000666DA">
              <w:rPr>
                <w:lang w:val="en-GB"/>
              </w:rPr>
              <w:t xml:space="preserve"> </w:t>
            </w:r>
            <w:r w:rsidRPr="00106A19">
              <w:rPr>
                <w:lang w:val="en-GB"/>
              </w:rPr>
              <w:t xml:space="preserve">time because </w:t>
            </w:r>
            <w:r>
              <w:rPr>
                <w:lang w:val="en-GB"/>
              </w:rPr>
              <w:t xml:space="preserve">the </w:t>
            </w:r>
            <w:r w:rsidRPr="00106A19" w:rsidR="000666DA">
              <w:rPr>
                <w:lang w:val="en-GB"/>
              </w:rPr>
              <w:t xml:space="preserve">customer </w:t>
            </w:r>
            <w:r w:rsidRPr="00106A19">
              <w:rPr>
                <w:lang w:val="en-GB"/>
              </w:rPr>
              <w:t xml:space="preserve">typically controls the asset that is enhanced. </w:t>
            </w:r>
            <w:r w:rsidR="00F753FD">
              <w:rPr>
                <w:lang w:val="en-GB"/>
              </w:rPr>
              <w:t>Service</w:t>
            </w:r>
            <w:r w:rsidRPr="00106A19">
              <w:rPr>
                <w:lang w:val="en-GB"/>
              </w:rPr>
              <w:t xml:space="preserve"> related</w:t>
            </w:r>
            <w:r w:rsidRPr="00106A19">
              <w:rPr>
                <w:lang w:val="en-GB"/>
              </w:rPr>
              <w:t xml:space="preserve"> projects </w:t>
            </w:r>
            <w:r w:rsidRPr="00106A19" w:rsidR="000666DA">
              <w:rPr>
                <w:lang w:val="en-GB"/>
              </w:rPr>
              <w:t xml:space="preserve">usually </w:t>
            </w:r>
            <w:r w:rsidRPr="00106A19">
              <w:rPr>
                <w:lang w:val="en-GB"/>
              </w:rPr>
              <w:t>contain one perfo</w:t>
            </w:r>
            <w:r w:rsidRPr="00106A19">
              <w:rPr>
                <w:lang w:val="en-GB"/>
              </w:rPr>
              <w:t>rmance obligation.</w:t>
            </w:r>
          </w:p>
          <w:p w:rsidR="009275CE" w:rsidRPr="00106A19" w:rsidP="009275CE" w14:paraId="0162C9F1" w14:textId="77777777">
            <w:pPr>
              <w:pStyle w:val="Bodytext2"/>
              <w:rPr>
                <w:lang w:val="en-GB"/>
              </w:rPr>
            </w:pPr>
          </w:p>
          <w:p w:rsidR="009275CE" w:rsidRPr="00106A19" w:rsidP="009275CE" w14:paraId="45E9D62D" w14:textId="4958A034">
            <w:pPr>
              <w:pStyle w:val="Bodytext2"/>
              <w:rPr>
                <w:lang w:val="en-GB"/>
              </w:rPr>
            </w:pPr>
            <w:r w:rsidRPr="00106A19">
              <w:rPr>
                <w:lang w:val="en-GB"/>
              </w:rPr>
              <w:t xml:space="preserve">Long-term agreements </w:t>
            </w:r>
            <w:r>
              <w:rPr>
                <w:lang w:val="en-GB"/>
              </w:rPr>
              <w:t>include</w:t>
            </w:r>
            <w:r w:rsidRPr="00106A19">
              <w:rPr>
                <w:lang w:val="en-GB"/>
              </w:rPr>
              <w:t xml:space="preserve"> long-term operating and maintenance agreements for which the revenue is recognised over time because the customer simultaneously receives and consumes the service provided. These contracts generally contain </w:t>
            </w:r>
            <w:r w:rsidRPr="00106A19">
              <w:rPr>
                <w:lang w:val="en-GB"/>
              </w:rPr>
              <w:t>one performance obligation per installation.</w:t>
            </w:r>
          </w:p>
          <w:p w:rsidR="009275CE" w:rsidRPr="00106A19" w:rsidP="009275CE" w14:paraId="36CA6775" w14:textId="77777777">
            <w:pPr>
              <w:pStyle w:val="Bodytext2"/>
              <w:rPr>
                <w:lang w:val="en-GB"/>
              </w:rPr>
            </w:pPr>
          </w:p>
          <w:p w:rsidR="009275CE" w:rsidRPr="00106A19" w:rsidP="009275CE" w14:paraId="0DEFBC56" w14:textId="797D01C2">
            <w:pPr>
              <w:pStyle w:val="Bodytext2"/>
              <w:rPr>
                <w:lang w:val="en-GB"/>
              </w:rPr>
            </w:pPr>
            <w:r w:rsidRPr="00106A19">
              <w:rPr>
                <w:lang w:val="en-GB"/>
              </w:rPr>
              <w:t xml:space="preserve">Contracts with customers often include warranties in line with Wärtsilä’s General terms and conditions, which are regarded as part of the promise to the customer. Extended warranties or warranties purchased as </w:t>
            </w:r>
            <w:r w:rsidRPr="00106A19">
              <w:rPr>
                <w:lang w:val="en-GB"/>
              </w:rPr>
              <w:t xml:space="preserve">an option are identified as separate performance obligations </w:t>
            </w:r>
            <w:r>
              <w:rPr>
                <w:lang w:val="en-GB"/>
              </w:rPr>
              <w:t>with</w:t>
            </w:r>
            <w:r w:rsidRPr="00106A19">
              <w:rPr>
                <w:lang w:val="en-GB"/>
              </w:rPr>
              <w:t xml:space="preserve"> revenue </w:t>
            </w:r>
            <w:r>
              <w:rPr>
                <w:lang w:val="en-GB"/>
              </w:rPr>
              <w:t>being</w:t>
            </w:r>
            <w:r w:rsidRPr="00106A19">
              <w:rPr>
                <w:lang w:val="en-GB"/>
              </w:rPr>
              <w:t xml:space="preserve"> recognised evenly over the warranty period.</w:t>
            </w:r>
          </w:p>
          <w:p w:rsidR="009275CE" w:rsidRPr="00106A19" w:rsidP="009275CE" w14:paraId="4118F7FF" w14:textId="77777777">
            <w:pPr>
              <w:pStyle w:val="Bodytext2"/>
              <w:rPr>
                <w:lang w:val="en-GB"/>
              </w:rPr>
            </w:pPr>
          </w:p>
          <w:p w:rsidR="009275CE" w:rsidRPr="00106A19" w:rsidP="009275CE" w14:paraId="75EED9C9" w14:textId="5F7F0AA3">
            <w:pPr>
              <w:pStyle w:val="Bodytext2"/>
              <w:rPr>
                <w:lang w:val="en-GB"/>
              </w:rPr>
            </w:pPr>
            <w:r w:rsidRPr="00106A19">
              <w:rPr>
                <w:lang w:val="en-GB"/>
              </w:rPr>
              <w:t>Revenue recognised over time is measured in accordance with the input method (progress measured based on costs incurred) when the o</w:t>
            </w:r>
            <w:r w:rsidRPr="00106A19">
              <w:rPr>
                <w:lang w:val="en-GB"/>
              </w:rPr>
              <w:t xml:space="preserve">utcome of the contract can be estimated reliably. When the outcome cannot be reliably determined, the costs arising are expensed in the same </w:t>
            </w:r>
            <w:r>
              <w:rPr>
                <w:lang w:val="en-GB"/>
              </w:rPr>
              <w:t>reporting</w:t>
            </w:r>
            <w:r w:rsidRPr="00106A19">
              <w:rPr>
                <w:lang w:val="en-GB"/>
              </w:rPr>
              <w:t xml:space="preserve"> period in which they occur, but the revenue is recorded only to the extent that the company will receive </w:t>
            </w:r>
            <w:r w:rsidRPr="00106A19">
              <w:rPr>
                <w:lang w:val="en-GB"/>
              </w:rPr>
              <w:t>an amount corresponding to actual costs. Any losses are expensed immediately. If revenue for goods and services is recognised at a point in time, it is when control is transferred to the customer. The transfer of control is based mainly on transferring ris</w:t>
            </w:r>
            <w:r w:rsidRPr="00106A19">
              <w:rPr>
                <w:lang w:val="en-GB"/>
              </w:rPr>
              <w:t>ks and rewards according to the delivery terms.</w:t>
            </w:r>
          </w:p>
          <w:p w:rsidR="009275CE" w:rsidRPr="00106A19" w:rsidP="009275CE" w14:paraId="6725E04A" w14:textId="77777777">
            <w:pPr>
              <w:pStyle w:val="Bodytext2"/>
              <w:rPr>
                <w:lang w:val="en-GB"/>
              </w:rPr>
            </w:pPr>
          </w:p>
          <w:p w:rsidR="009275CE" w:rsidRPr="00106A19" w:rsidP="009275CE" w14:paraId="331A62DB" w14:textId="5F7B1DC6">
            <w:pPr>
              <w:pStyle w:val="Bodytext2"/>
              <w:rPr>
                <w:lang w:val="en-GB"/>
              </w:rPr>
            </w:pPr>
            <w:r>
              <w:rPr>
                <w:lang w:val="en-GB"/>
              </w:rPr>
              <w:t>Should</w:t>
            </w:r>
            <w:r w:rsidRPr="00106A19">
              <w:rPr>
                <w:lang w:val="en-GB"/>
              </w:rPr>
              <w:t xml:space="preserve"> there </w:t>
            </w:r>
            <w:r>
              <w:rPr>
                <w:lang w:val="en-GB"/>
              </w:rPr>
              <w:t>be</w:t>
            </w:r>
            <w:r w:rsidRPr="00106A19">
              <w:rPr>
                <w:lang w:val="en-GB"/>
              </w:rPr>
              <w:t xml:space="preserve"> multiple contracts entered into with </w:t>
            </w:r>
            <w:r>
              <w:rPr>
                <w:lang w:val="en-GB"/>
              </w:rPr>
              <w:t>the</w:t>
            </w:r>
            <w:r w:rsidRPr="00106A19">
              <w:rPr>
                <w:lang w:val="en-GB"/>
              </w:rPr>
              <w:t xml:space="preserve"> same client at near the same time, the combination of the contracts is evaluated.</w:t>
            </w:r>
          </w:p>
          <w:p w:rsidR="009275CE" w:rsidRPr="00106A19" w:rsidP="009275CE" w14:paraId="164F3B96" w14:textId="77777777">
            <w:pPr>
              <w:pStyle w:val="Bodytext2"/>
              <w:rPr>
                <w:lang w:val="en-GB"/>
              </w:rPr>
            </w:pPr>
          </w:p>
          <w:p w:rsidR="009275CE" w:rsidRPr="00106A19" w:rsidP="009275CE" w14:paraId="78AD9CAA" w14:textId="19CF3279">
            <w:pPr>
              <w:pStyle w:val="Bodytext2"/>
              <w:rPr>
                <w:lang w:val="en-GB"/>
              </w:rPr>
            </w:pPr>
            <w:r w:rsidRPr="00106A19">
              <w:rPr>
                <w:lang w:val="en-GB"/>
              </w:rPr>
              <w:t xml:space="preserve">The Group applies the practical expedient according to IFRS </w:t>
            </w:r>
            <w:r w:rsidRPr="00106A19">
              <w:rPr>
                <w:lang w:val="en-GB"/>
              </w:rPr>
              <w:t>15.63 concerning significant financing components arising from contracts with customers. In case the lead time between the payments specified in the contract and the corresponding transferral of the promised good or service to the customer is one year or l</w:t>
            </w:r>
            <w:r w:rsidRPr="00106A19">
              <w:rPr>
                <w:lang w:val="en-GB"/>
              </w:rPr>
              <w:t>ess, no adjustment is made for the effect of a possible significant financing component.</w:t>
            </w:r>
          </w:p>
          <w:p w:rsidR="009275CE" w:rsidRPr="00106A19" w:rsidP="009275CE" w14:paraId="37602849" w14:textId="77777777">
            <w:pPr>
              <w:pStyle w:val="Bodytext2"/>
              <w:rPr>
                <w:lang w:val="en-GB"/>
              </w:rPr>
            </w:pPr>
          </w:p>
          <w:p w:rsidR="009275CE" w:rsidRPr="00106A19" w:rsidP="009275CE" w14:paraId="7EF63C2D" w14:textId="0D2840E7">
            <w:pPr>
              <w:pStyle w:val="Bodytext2"/>
              <w:rPr>
                <w:lang w:val="en-GB"/>
              </w:rPr>
            </w:pPr>
            <w:r w:rsidRPr="00106A19">
              <w:rPr>
                <w:lang w:val="en-GB"/>
              </w:rPr>
              <w:t>The Group also applies the practical expedient stated in IFRS 15.94 according to which an entity can recognise the incremental costs of obtaining a contract as an exp</w:t>
            </w:r>
            <w:r w:rsidRPr="00106A19">
              <w:rPr>
                <w:lang w:val="en-GB"/>
              </w:rPr>
              <w:t xml:space="preserve">ense when incurred if the amortisation period of the asset that the entity would have recognised is one year or less. Wärtsilä has not incurred any costs </w:t>
            </w:r>
            <w:r>
              <w:rPr>
                <w:lang w:val="en-GB"/>
              </w:rPr>
              <w:t>for</w:t>
            </w:r>
            <w:r w:rsidRPr="00106A19">
              <w:rPr>
                <w:lang w:val="en-GB"/>
              </w:rPr>
              <w:t xml:space="preserve"> obtaining a contract to be recognised as an asset.</w:t>
            </w:r>
          </w:p>
          <w:p w:rsidR="009275CE" w:rsidRPr="00106A19" w:rsidP="009275CE" w14:paraId="476F8B60" w14:textId="77777777">
            <w:pPr>
              <w:pStyle w:val="Bodytext2"/>
              <w:rPr>
                <w:lang w:val="en-GB"/>
              </w:rPr>
            </w:pPr>
          </w:p>
          <w:p w:rsidR="009275CE" w:rsidRPr="00106A19" w:rsidP="00961CCD" w14:paraId="1D42B3A0" w14:textId="77777777">
            <w:pPr>
              <w:pStyle w:val="Heading13"/>
              <w:rPr>
                <w:lang w:val="en-GB"/>
              </w:rPr>
            </w:pPr>
            <w:r w:rsidRPr="00106A19">
              <w:rPr>
                <w:lang w:val="en-GB"/>
              </w:rPr>
              <w:t>Accounting estimates and judgements</w:t>
            </w:r>
          </w:p>
          <w:p w:rsidR="009275CE" w:rsidRPr="00106A19" w:rsidP="009275CE" w14:paraId="22F1BB1F" w14:textId="3BE95481">
            <w:pPr>
              <w:pStyle w:val="Bodytext2"/>
              <w:rPr>
                <w:lang w:val="en-GB"/>
              </w:rPr>
            </w:pPr>
            <w:r w:rsidRPr="00106A19">
              <w:rPr>
                <w:lang w:val="en-GB"/>
              </w:rPr>
              <w:t xml:space="preserve">Revenue from certain projects and long-term agreements is recognised over time according to the input method when the profit on the project or agreement can be reliably determined. The progress and the profitability are </w:t>
            </w:r>
            <w:r w:rsidRPr="00106A19">
              <w:rPr>
                <w:lang w:val="en-GB"/>
              </w:rPr>
              <w:t xml:space="preserve">based on the management’s estimates, which require significant judgement concerning the stage of completion, </w:t>
            </w:r>
            <w:r>
              <w:rPr>
                <w:lang w:val="en-GB"/>
              </w:rPr>
              <w:t xml:space="preserve">the </w:t>
            </w:r>
            <w:r w:rsidRPr="00106A19">
              <w:rPr>
                <w:lang w:val="en-GB"/>
              </w:rPr>
              <w:t>cost to complete, and</w:t>
            </w:r>
            <w:r>
              <w:rPr>
                <w:lang w:val="en-GB"/>
              </w:rPr>
              <w:t xml:space="preserve"> the</w:t>
            </w:r>
            <w:r w:rsidRPr="00106A19">
              <w:rPr>
                <w:lang w:val="en-GB"/>
              </w:rPr>
              <w:t xml:space="preserve"> time of completion. These estimates are reviewed regularly. Recognised revenue and costs recorded are adjusted during</w:t>
            </w:r>
            <w:r w:rsidRPr="00106A19">
              <w:rPr>
                <w:lang w:val="en-GB"/>
              </w:rPr>
              <w:t xml:space="preserve"> the project when assumptions concerning the outcome of the entire project are updated. Changes in assumptions relate to changes in the project’s or agreement’s schedule, </w:t>
            </w:r>
            <w:r>
              <w:rPr>
                <w:lang w:val="en-GB"/>
              </w:rPr>
              <w:t xml:space="preserve">the </w:t>
            </w:r>
            <w:r w:rsidRPr="00106A19">
              <w:rPr>
                <w:lang w:val="en-GB"/>
              </w:rPr>
              <w:t>scope of supply, technology, costs, and any other relevant factors.</w:t>
            </w:r>
          </w:p>
          <w:p w:rsidR="009275CE" w:rsidRPr="00106A19" w:rsidP="009275CE" w14:paraId="2EA45E5E" w14:textId="77777777">
            <w:pPr>
              <w:pStyle w:val="Bodytext2"/>
              <w:rPr>
                <w:lang w:val="en-GB"/>
              </w:rPr>
            </w:pPr>
          </w:p>
          <w:p w:rsidR="009275CE" w:rsidRPr="00106A19" w:rsidP="009275CE" w14:paraId="0BDB5441" w14:textId="75D0A616">
            <w:pPr>
              <w:pStyle w:val="Bodytext2"/>
              <w:rPr>
                <w:lang w:val="en-GB"/>
              </w:rPr>
            </w:pPr>
            <w:r w:rsidRPr="00106A19">
              <w:rPr>
                <w:lang w:val="en-GB"/>
              </w:rPr>
              <w:t>Establishing</w:t>
            </w:r>
            <w:r w:rsidRPr="00106A19">
              <w:rPr>
                <w:lang w:val="en-GB"/>
              </w:rPr>
              <w:t xml:space="preserve"> whether distinct goods or services are considered as separate performance obligations requires judgement and might impact the timing and amount of revenue recognition.</w:t>
            </w:r>
          </w:p>
          <w:p w:rsidR="00552E39" w:rsidRPr="00106A19" w:rsidP="009275CE" w14:paraId="60809B3E" w14:textId="77777777">
            <w:pPr>
              <w:pStyle w:val="Bodytext2"/>
              <w:rPr>
                <w:lang w:val="en-GB"/>
              </w:rPr>
            </w:pPr>
          </w:p>
          <w:p w:rsidR="009275CE" w:rsidRPr="00106A19" w:rsidP="009275CE" w14:paraId="783BE799" w14:textId="77777777">
            <w:pPr>
              <w:pStyle w:val="Bodytext2"/>
              <w:rPr>
                <w:lang w:val="en-GB"/>
              </w:rPr>
            </w:pPr>
            <w:r w:rsidRPr="00106A19">
              <w:rPr>
                <w:lang w:val="en-GB"/>
              </w:rPr>
              <w:t>Project business contracts usually involve elements of variable consideration. At each</w:t>
            </w:r>
            <w:r w:rsidRPr="00106A19">
              <w:rPr>
                <w:lang w:val="en-GB"/>
              </w:rPr>
              <w:t xml:space="preserve"> reporting date, management reassesses the transaction price, which requires significant judgement as it affects the timing of the revenue recognition. The valuation of accounts receivables also includes estimates mainly concerning the recoverability of re</w:t>
            </w:r>
            <w:r w:rsidRPr="00106A19">
              <w:rPr>
                <w:lang w:val="en-GB"/>
              </w:rPr>
              <w:t>ceivables.</w:t>
            </w:r>
          </w:p>
          <w:p w:rsidR="009275CE" w:rsidRPr="00106A19" w:rsidP="009275CE" w14:paraId="2D30DC4F" w14:textId="77777777">
            <w:pPr>
              <w:pStyle w:val="Bodytext2"/>
              <w:rPr>
                <w:lang w:val="en-GB"/>
              </w:rPr>
            </w:pPr>
          </w:p>
          <w:p w:rsidR="009275CE" w:rsidRPr="00106A19" w:rsidP="009275CE" w14:paraId="468082C3" w14:textId="1BF14742">
            <w:pPr>
              <w:pStyle w:val="Bodytext2"/>
              <w:rPr>
                <w:lang w:val="en-GB"/>
              </w:rPr>
            </w:pPr>
            <w:r w:rsidRPr="00106A19">
              <w:rPr>
                <w:lang w:val="en-GB"/>
              </w:rPr>
              <w:t xml:space="preserve">Determining whether different contracts with the same customer are accounted for as one contract involves the use of judgement, as it requires </w:t>
            </w:r>
            <w:r>
              <w:rPr>
                <w:lang w:val="en-GB"/>
              </w:rPr>
              <w:t xml:space="preserve">an </w:t>
            </w:r>
            <w:r w:rsidRPr="00106A19">
              <w:rPr>
                <w:lang w:val="en-GB"/>
              </w:rPr>
              <w:t>assessment of whether the contracts are negotiated together or linked in any other way. The timing</w:t>
            </w:r>
            <w:r w:rsidRPr="00106A19">
              <w:rPr>
                <w:lang w:val="en-GB"/>
              </w:rPr>
              <w:t xml:space="preserve"> and amount of revenue recognition can vary depending on whether two contracts are accounted for separately, or as one single arrangement.</w:t>
            </w:r>
          </w:p>
          <w:p w:rsidR="009275CE" w:rsidRPr="00106A19" w:rsidP="009275CE" w14:paraId="4B25584B" w14:textId="77777777">
            <w:pPr>
              <w:pStyle w:val="Bodytext2"/>
              <w:rPr>
                <w:lang w:val="en-GB"/>
              </w:rPr>
            </w:pPr>
          </w:p>
          <w:p w:rsidR="009275CE" w:rsidRPr="00106A19" w:rsidP="009275CE" w14:paraId="72B90CD6" w14:textId="12476B09">
            <w:pPr>
              <w:pStyle w:val="Bodytext2"/>
              <w:rPr>
                <w:lang w:val="en-GB"/>
              </w:rPr>
            </w:pPr>
            <w:r w:rsidRPr="00106A19">
              <w:rPr>
                <w:lang w:val="en-GB"/>
              </w:rPr>
              <w:t>Warranty provisions are recorded on the recognition of revenue. The provision is based on the accumulated experience</w:t>
            </w:r>
            <w:r w:rsidRPr="00106A19">
              <w:rPr>
                <w:lang w:val="en-GB"/>
              </w:rPr>
              <w:t xml:space="preserve"> of the level of warranty needed to manage future and current cost claims. Products can contain new and complex technology that can affect warranty estimates</w:t>
            </w:r>
            <w:r>
              <w:rPr>
                <w:lang w:val="en-GB"/>
              </w:rPr>
              <w:t>,</w:t>
            </w:r>
            <w:r w:rsidRPr="00106A19">
              <w:rPr>
                <w:lang w:val="en-GB"/>
              </w:rPr>
              <w:t xml:space="preserve"> with the result that earlier recognised provisions are not always </w:t>
            </w:r>
            <w:r w:rsidRPr="00106A19">
              <w:rPr>
                <w:lang w:val="en-GB"/>
              </w:rPr>
              <w:t>sufficient</w:t>
            </w:r>
            <w:r w:rsidRPr="00106A19">
              <w:rPr>
                <w:lang w:val="en-GB"/>
              </w:rPr>
              <w:t>.</w:t>
            </w:r>
          </w:p>
        </w:tc>
      </w:tr>
    </w:tbl>
    <w:p w:rsidR="009275CE" w:rsidRPr="009275CE" w:rsidP="009275CE" w14:paraId="4C6E3A6D" w14:textId="77777777">
      <w:pPr>
        <w:pStyle w:val="Bodytext2"/>
      </w:pPr>
    </w:p>
    <w:p w:rsidR="009275CE" w:rsidRPr="009275CE" w:rsidP="009275CE" w14:paraId="3BC450F3" w14:textId="77777777">
      <w:pPr>
        <w:pStyle w:val="Heading13"/>
      </w:pPr>
      <w:r w:rsidRPr="009275CE">
        <w:t>Net sales by reve</w:t>
      </w:r>
      <w:r w:rsidRPr="009275CE">
        <w:t>nue type</w:t>
      </w:r>
    </w:p>
    <w:p w:rsidR="009275CE" w:rsidRPr="009275CE" w:rsidP="009275CE" w14:paraId="75623C96" w14:textId="77777777">
      <w:pPr>
        <w:pStyle w:val="Bodytext2"/>
      </w:pPr>
    </w:p>
    <w:tbl>
      <w:tblPr>
        <w:tblStyle w:val="TableNormal"/>
        <w:tblCaption w:val="Table_Net_sales_by_revenue_type"/>
        <w:tblDescription w:val="Net sales by revenue type"/>
        <w:tblW w:w="7350" w:type="dxa"/>
        <w:tblLayout w:type="fixed"/>
        <w:tblLook w:val="0600"/>
      </w:tblPr>
      <w:tblGrid>
        <w:gridCol w:w="4860"/>
        <w:gridCol w:w="1245"/>
        <w:gridCol w:w="1245"/>
      </w:tblGrid>
      <w:tr>
        <w:tblPrEx>
          <w:tblW w:w="7350" w:type="dxa"/>
          <w:tblLayout w:type="fixed"/>
          <w:tblLook w:val="0600"/>
        </w:tblPrEx>
        <w:trPr>
          <w:trHeight w:hRule="exact" w:val="225"/>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Products</w:t>
            </w: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586</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1,091</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1,184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center"/>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Goods and services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511</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603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center"/>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Projects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712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606</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750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1,053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147</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2,557</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2,899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center"/>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Long-term agreements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445</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center"/>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486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4,604</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5,170</w:t>
            </w:r>
          </w:p>
        </w:tc>
      </w:tr>
    </w:tbl>
    <w:p w:rsidR="009275CE" w:rsidRPr="009275CE" w:rsidP="009275CE" w14:paraId="2E26DCC3" w14:textId="77777777">
      <w:pPr>
        <w:pStyle w:val="Bodytext2"/>
      </w:pPr>
    </w:p>
    <w:p w:rsidR="009275CE" w:rsidRPr="009275CE" w:rsidP="009275CE" w14:paraId="23EFF085" w14:textId="77777777">
      <w:pPr>
        <w:pStyle w:val="Bodytext2"/>
      </w:pPr>
    </w:p>
    <w:p w:rsidR="009275CE" w:rsidRPr="009275CE" w:rsidP="009275CE" w14:paraId="46EAE353" w14:textId="77777777">
      <w:pPr>
        <w:pStyle w:val="Heading13"/>
      </w:pPr>
      <w:r w:rsidRPr="009275CE">
        <w:t>Timing of satisfying performance obligations</w:t>
      </w:r>
    </w:p>
    <w:p w:rsidR="009275CE" w:rsidRPr="009275CE" w:rsidP="009275CE" w14:paraId="3C1FCC28" w14:textId="77777777">
      <w:pPr>
        <w:pStyle w:val="Bodytext2"/>
      </w:pPr>
    </w:p>
    <w:tbl>
      <w:tblPr>
        <w:tblStyle w:val="TableNormal"/>
        <w:tblCaption w:val="Table_Timing_of_satisfying_performance_obligations"/>
        <w:tblDescription w:val="MEUR"/>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At a point in time</w:t>
            </w: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1,536</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1,687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546</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809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1,102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3,150</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3,728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Over time</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811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676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92</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1,455</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1,442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4,604</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5,170</w:t>
            </w:r>
          </w:p>
        </w:tc>
      </w:tr>
    </w:tbl>
    <w:p/>
    <w:p w:rsidR="00283B8E" w:rsidRPr="00283B8E" w:rsidP="00283B8E" w14:paraId="4FCC8989" w14:textId="77777777">
      <w:pPr>
        <w:pStyle w:val="Heading12"/>
      </w:pPr>
      <w:bookmarkStart w:id="1154" w:name="RG_MARKER_4192"/>
      <w:r w:rsidRPr="00283B8E">
        <w:t>2.3. OTHER OPERATING INCOME AND EXPENSES</w:t>
      </w:r>
      <w:bookmarkEnd w:id="1154"/>
    </w:p>
    <w:tbl>
      <w:tblPr>
        <w:tblStyle w:val="TableGrid"/>
        <w:tblW w:w="7371" w:type="dxa"/>
        <w:tblLook w:val="04A0"/>
      </w:tblPr>
      <w:tblGrid>
        <w:gridCol w:w="7371"/>
      </w:tblGrid>
      <w:tr w14:paraId="674C52C3" w14:textId="77777777" w:rsidTr="00283B8E">
        <w:tblPrEx>
          <w:tblW w:w="7371" w:type="dxa"/>
          <w:tblLook w:val="04A0"/>
        </w:tblPrEx>
        <w:tc>
          <w:tcPr>
            <w:tcW w:w="6683" w:type="dxa"/>
            <w:tcBorders>
              <w:top w:val="nil"/>
              <w:left w:val="nil"/>
              <w:bottom w:val="nil"/>
              <w:right w:val="nil"/>
            </w:tcBorders>
            <w:shd w:val="clear" w:color="auto" w:fill="B6C8D1"/>
          </w:tcPr>
          <w:p w:rsidR="00283B8E" w:rsidRPr="00D04B16" w:rsidP="00283B8E" w14:paraId="74C51B84" w14:textId="77777777">
            <w:pPr>
              <w:pStyle w:val="Heading13"/>
              <w:rPr>
                <w:lang w:val="en-GB"/>
              </w:rPr>
            </w:pPr>
            <w:bookmarkStart w:id="1155" w:name="_Hlk47444713"/>
            <w:r w:rsidRPr="00D04B16">
              <w:rPr>
                <w:lang w:val="en-GB"/>
              </w:rPr>
              <w:t>Accounting principles</w:t>
            </w:r>
          </w:p>
          <w:p w:rsidR="00283B8E" w:rsidRPr="00D04B16" w:rsidP="00283B8E" w14:paraId="48BD937C" w14:textId="7B254138">
            <w:pPr>
              <w:pStyle w:val="Bodytext2"/>
              <w:rPr>
                <w:lang w:val="en-GB"/>
              </w:rPr>
            </w:pPr>
            <w:r w:rsidRPr="00D04B16">
              <w:rPr>
                <w:lang w:val="en-GB"/>
              </w:rPr>
              <w:t>Other operating income and expenses comprise income and expenses that do not directly relate to the operating</w:t>
            </w:r>
            <w:r>
              <w:rPr>
                <w:lang w:val="en-GB"/>
              </w:rPr>
              <w:t xml:space="preserve"> activities.</w:t>
            </w:r>
          </w:p>
          <w:p w:rsidR="00283B8E" w:rsidRPr="00D04B16" w:rsidP="00283B8E" w14:paraId="2BCFD1B1" w14:textId="77777777">
            <w:pPr>
              <w:pStyle w:val="Bodytext2"/>
              <w:rPr>
                <w:lang w:val="en-GB"/>
              </w:rPr>
            </w:pPr>
          </w:p>
          <w:p w:rsidR="00283B8E" w:rsidRPr="00D04B16" w:rsidP="00283B8E" w14:paraId="5EAC3E61" w14:textId="07059870">
            <w:pPr>
              <w:pStyle w:val="Bodytext2"/>
              <w:rPr>
                <w:lang w:val="en-GB"/>
              </w:rPr>
            </w:pPr>
            <w:r w:rsidRPr="00D04B16">
              <w:rPr>
                <w:lang w:val="en-GB"/>
              </w:rPr>
              <w:t>Other operating income includes</w:t>
            </w:r>
            <w:r>
              <w:rPr>
                <w:lang w:val="en-GB"/>
              </w:rPr>
              <w:t>, for example,</w:t>
            </w:r>
            <w:r w:rsidRPr="00D04B16">
              <w:rPr>
                <w:lang w:val="en-GB"/>
              </w:rPr>
              <w:t xml:space="preserve"> gains from </w:t>
            </w:r>
            <w:r>
              <w:rPr>
                <w:lang w:val="en-GB"/>
              </w:rPr>
              <w:t xml:space="preserve">the </w:t>
            </w:r>
            <w:r w:rsidRPr="00D04B16">
              <w:rPr>
                <w:lang w:val="en-GB"/>
              </w:rPr>
              <w:t xml:space="preserve">sale </w:t>
            </w:r>
            <w:r w:rsidRPr="00D04B16">
              <w:rPr>
                <w:lang w:val="en-GB"/>
              </w:rPr>
              <w:t>of assets and regular incomes, such as rental income</w:t>
            </w:r>
            <w:r>
              <w:rPr>
                <w:lang w:val="en-GB"/>
              </w:rPr>
              <w:t>,</w:t>
            </w:r>
            <w:r w:rsidRPr="00D04B16">
              <w:rPr>
                <w:lang w:val="en-GB"/>
              </w:rPr>
              <w:t xml:space="preserve"> and gains relating to business combinations, which have not been derived from primary activities. Other operating income includes also grants. Government</w:t>
            </w:r>
            <w:r>
              <w:rPr>
                <w:lang w:val="en-GB"/>
              </w:rPr>
              <w:t>al</w:t>
            </w:r>
            <w:r w:rsidRPr="00D04B16">
              <w:rPr>
                <w:lang w:val="en-GB"/>
              </w:rPr>
              <w:t xml:space="preserve"> </w:t>
            </w:r>
            <w:r>
              <w:rPr>
                <w:lang w:val="en-GB"/>
              </w:rPr>
              <w:t>and</w:t>
            </w:r>
            <w:r w:rsidRPr="00D04B16">
              <w:rPr>
                <w:lang w:val="en-GB"/>
              </w:rPr>
              <w:t xml:space="preserve"> other grants are recognised in the</w:t>
            </w:r>
            <w:r>
              <w:rPr>
                <w:lang w:val="en-GB"/>
              </w:rPr>
              <w:t xml:space="preserve"> stateme</w:t>
            </w:r>
            <w:r>
              <w:rPr>
                <w:lang w:val="en-GB"/>
              </w:rPr>
              <w:t xml:space="preserve">nt of </w:t>
            </w:r>
            <w:r w:rsidRPr="00D04B16">
              <w:rPr>
                <w:lang w:val="en-GB"/>
              </w:rPr>
              <w:t>income on a systematic basis in the same periods in which the expenses are incurred.</w:t>
            </w:r>
          </w:p>
          <w:p w:rsidR="00283B8E" w:rsidRPr="00D04B16" w:rsidP="00283B8E" w14:paraId="10E1E93B" w14:textId="77777777">
            <w:pPr>
              <w:pStyle w:val="Bodytext2"/>
              <w:rPr>
                <w:lang w:val="en-GB"/>
              </w:rPr>
            </w:pPr>
          </w:p>
          <w:p w:rsidR="00283B8E" w:rsidRPr="00D04B16" w:rsidP="00D04B16" w14:paraId="3AC30966" w14:textId="7C44D5A6">
            <w:pPr>
              <w:pStyle w:val="Bodytext2"/>
              <w:rPr>
                <w:lang w:val="en-GB"/>
              </w:rPr>
            </w:pPr>
            <w:bookmarkStart w:id="1156" w:name="_Hlk47443497"/>
            <w:r w:rsidRPr="00D04B16">
              <w:rPr>
                <w:lang w:val="en-GB"/>
              </w:rPr>
              <w:t>Other operating expenses include</w:t>
            </w:r>
            <w:r>
              <w:rPr>
                <w:lang w:val="en-GB"/>
              </w:rPr>
              <w:t>,</w:t>
            </w:r>
            <w:r w:rsidRPr="00D04B16">
              <w:rPr>
                <w:lang w:val="en-GB"/>
              </w:rPr>
              <w:t xml:space="preserve"> for example</w:t>
            </w:r>
            <w:r>
              <w:rPr>
                <w:lang w:val="en-GB"/>
              </w:rPr>
              <w:t>,</w:t>
            </w:r>
            <w:r w:rsidRPr="00D04B16">
              <w:rPr>
                <w:lang w:val="en-GB"/>
              </w:rPr>
              <w:t xml:space="preserve"> travel costs, legal and consultancy costs, rental costs, voluntary personnel related costs, and administrative costs.</w:t>
            </w:r>
            <w:r w:rsidRPr="00D04B16">
              <w:rPr>
                <w:lang w:val="en-GB"/>
              </w:rPr>
              <w:t xml:space="preserve"> Also</w:t>
            </w:r>
            <w:r>
              <w:rPr>
                <w:lang w:val="en-GB"/>
              </w:rPr>
              <w:t>,</w:t>
            </w:r>
            <w:r w:rsidRPr="00D04B16">
              <w:rPr>
                <w:lang w:val="en-GB"/>
              </w:rPr>
              <w:t xml:space="preserve"> </w:t>
            </w:r>
            <w:r w:rsidRPr="00977D3D">
              <w:rPr>
                <w:lang w:val="en-GB"/>
              </w:rPr>
              <w:t>expenses related to short-term lease contracts and lease contracts of low-value assets</w:t>
            </w:r>
            <w:r>
              <w:rPr>
                <w:lang w:val="en-GB"/>
              </w:rPr>
              <w:t xml:space="preserve"> are</w:t>
            </w:r>
            <w:r w:rsidRPr="00D04B16">
              <w:rPr>
                <w:lang w:val="en-GB"/>
              </w:rPr>
              <w:t xml:space="preserve"> recognised in other operating expenses</w:t>
            </w:r>
            <w:bookmarkEnd w:id="1156"/>
            <w:r>
              <w:rPr>
                <w:lang w:val="en-GB"/>
              </w:rPr>
              <w:t xml:space="preserve">. </w:t>
            </w:r>
            <w:r w:rsidRPr="00D04B16">
              <w:rPr>
                <w:lang w:val="en-GB"/>
              </w:rPr>
              <w:t xml:space="preserve">In addition, losses related to </w:t>
            </w:r>
            <w:r>
              <w:rPr>
                <w:lang w:val="en-GB"/>
              </w:rPr>
              <w:t xml:space="preserve">the </w:t>
            </w:r>
            <w:r w:rsidRPr="00D04B16">
              <w:rPr>
                <w:lang w:val="en-GB"/>
              </w:rPr>
              <w:t>sale of assets</w:t>
            </w:r>
            <w:r>
              <w:rPr>
                <w:lang w:val="en-GB"/>
              </w:rPr>
              <w:t>,</w:t>
            </w:r>
            <w:r w:rsidRPr="00D04B16">
              <w:rPr>
                <w:lang w:val="en-GB"/>
              </w:rPr>
              <w:t xml:space="preserve"> as well as losses arising from modifications and terminations of le</w:t>
            </w:r>
            <w:r w:rsidRPr="00D04B16">
              <w:rPr>
                <w:lang w:val="en-GB"/>
              </w:rPr>
              <w:t>ase agreements</w:t>
            </w:r>
            <w:r>
              <w:rPr>
                <w:lang w:val="en-GB"/>
              </w:rPr>
              <w:t>,</w:t>
            </w:r>
            <w:r w:rsidRPr="00D04B16">
              <w:rPr>
                <w:lang w:val="en-GB"/>
              </w:rPr>
              <w:t xml:space="preserve"> are recognised in other operating expenses.</w:t>
            </w:r>
            <w:bookmarkEnd w:id="1155"/>
          </w:p>
        </w:tc>
      </w:tr>
    </w:tbl>
    <w:p w:rsidR="00283B8E" w:rsidRPr="00283B8E" w:rsidP="00283B8E" w14:paraId="760FF255" w14:textId="77777777">
      <w:pPr>
        <w:pStyle w:val="Bodytext2"/>
      </w:pPr>
    </w:p>
    <w:p w:rsidR="00283B8E" w:rsidRPr="00283B8E" w:rsidP="00283B8E" w14:paraId="5CD08B82" w14:textId="77777777">
      <w:pPr>
        <w:pStyle w:val="Heading13"/>
      </w:pPr>
      <w:r w:rsidRPr="00283B8E">
        <w:t>Other operating income</w:t>
      </w:r>
    </w:p>
    <w:p w:rsidR="00283B8E" w:rsidRPr="00283B8E" w:rsidP="00283B8E" w14:paraId="4784D1F8" w14:textId="77777777">
      <w:pPr>
        <w:pStyle w:val="Bodytext2"/>
      </w:pPr>
    </w:p>
    <w:tbl>
      <w:tblPr>
        <w:tblStyle w:val="TableNormal"/>
        <w:tblCaption w:val="Table_Other_Operating_income"/>
        <w:tblDescription w:val="MEUR"/>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Capital gains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Government grants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 of scrapped material</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 of by-products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Rental income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related to cancelled orders*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Insurance indemnities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24</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67</w:t>
            </w:r>
          </w:p>
        </w:tc>
      </w:tr>
    </w:tbl>
    <w:p w:rsidR="00283B8E" w:rsidRPr="00283B8E" w:rsidP="00283B8E" w14:paraId="0BAB0649" w14:textId="77777777">
      <w:pPr>
        <w:pStyle w:val="Bodytext2"/>
      </w:pPr>
    </w:p>
    <w:p w:rsidR="00283B8E" w:rsidRPr="00283B8E" w:rsidP="00283B8E" w14:paraId="3B1CE241" w14:textId="1AE44B65">
      <w:pPr>
        <w:pStyle w:val="Bodytext2"/>
      </w:pPr>
      <w:r w:rsidRPr="00283B8E">
        <w:t xml:space="preserve">* Expenses related to cancelled orders are </w:t>
      </w:r>
      <w:r w:rsidRPr="00283B8E">
        <w:t>reco</w:t>
      </w:r>
      <w:r>
        <w:t>gnised</w:t>
      </w:r>
      <w:r w:rsidRPr="00283B8E">
        <w:t xml:space="preserve"> on respective expense accounts.</w:t>
      </w:r>
    </w:p>
    <w:p w:rsidR="00283B8E" w:rsidRPr="00E85FC4" w:rsidP="00283B8E" w14:paraId="286F735D" w14:textId="77777777">
      <w:pPr>
        <w:pStyle w:val="Bodytext2"/>
      </w:pPr>
      <w:r w:rsidRPr="00E85FC4">
        <w:t xml:space="preserve">** Other does not include any significant single </w:t>
      </w:r>
      <w:r w:rsidRPr="00E85FC4">
        <w:t>items.</w:t>
      </w:r>
    </w:p>
    <w:p w:rsidR="00283B8E" w:rsidRPr="00E85FC4" w:rsidP="00283B8E" w14:paraId="56A98994" w14:textId="77777777">
      <w:pPr>
        <w:pStyle w:val="Bodytext2"/>
      </w:pPr>
    </w:p>
    <w:p w:rsidR="00283B8E" w:rsidRPr="00E85FC4" w:rsidP="00283B8E" w14:paraId="410FE7F4" w14:textId="77777777">
      <w:pPr>
        <w:pStyle w:val="Heading13"/>
      </w:pPr>
      <w:r w:rsidRPr="00E85FC4">
        <w:t>Other operating expenses</w:t>
      </w:r>
    </w:p>
    <w:p w:rsidR="00283B8E" w:rsidRPr="00E85FC4" w:rsidP="00283B8E" w14:paraId="1A4258C7" w14:textId="77777777">
      <w:pPr>
        <w:pStyle w:val="Bodytext2"/>
      </w:pPr>
    </w:p>
    <w:tbl>
      <w:tblPr>
        <w:tblStyle w:val="TableNormal"/>
        <w:tblCaption w:val="table_other_operating_expenses"/>
        <w:tblDescription w:val="10. Other operating expenses"/>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Travel costs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75</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Rental costs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Legal and consultancy costs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Information technology costs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personnel related costs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Administrative costs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431</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578</w:t>
            </w:r>
          </w:p>
        </w:tc>
      </w:tr>
    </w:tbl>
    <w:p w:rsidR="00283B8E" w:rsidRPr="00E85FC4" w:rsidP="00283B8E" w14:paraId="0EE4ACA4" w14:textId="77777777">
      <w:pPr>
        <w:pStyle w:val="Bodytext2"/>
      </w:pPr>
    </w:p>
    <w:p w:rsidR="00B14CC9" w:rsidRPr="000D3ACF" w:rsidP="00283B8E" w14:textId="3AE2AD4C">
      <w:pPr>
        <w:pStyle w:val="Bodytext2"/>
        <w:rPr>
          <w:sz w:val="2"/>
          <w:szCs w:val="2"/>
        </w:rPr>
      </w:pPr>
      <w:r w:rsidRPr="00E85FC4">
        <w:t>* Other does not include any significant single items.</w:t>
      </w:r>
      <w:r>
        <w:br w:type="column"/>
      </w:r>
    </w:p>
    <w:p w:rsidR="00B000E2" w:rsidRPr="00B000E2" w:rsidP="00B000E2" w14:paraId="599B891F" w14:textId="77777777">
      <w:pPr>
        <w:pStyle w:val="Heading12"/>
      </w:pPr>
      <w:bookmarkStart w:id="1157" w:name="RG_MARKER_4191"/>
      <w:r w:rsidRPr="00B000E2">
        <w:t>2.4. MATERIAL AND SERVICES</w:t>
      </w:r>
      <w:bookmarkEnd w:id="1157"/>
    </w:p>
    <w:tbl>
      <w:tblPr>
        <w:tblStyle w:val="TableGrid"/>
        <w:tblW w:w="7371" w:type="dxa"/>
        <w:tblLook w:val="04A0"/>
      </w:tblPr>
      <w:tblGrid>
        <w:gridCol w:w="7371"/>
      </w:tblGrid>
      <w:tr w14:paraId="366465BE" w14:textId="77777777" w:rsidTr="00B000E2">
        <w:tblPrEx>
          <w:tblW w:w="7371" w:type="dxa"/>
          <w:tblLook w:val="04A0"/>
        </w:tblPrEx>
        <w:tc>
          <w:tcPr>
            <w:tcW w:w="6339" w:type="dxa"/>
            <w:tcBorders>
              <w:top w:val="nil"/>
              <w:left w:val="nil"/>
              <w:bottom w:val="nil"/>
              <w:right w:val="nil"/>
            </w:tcBorders>
            <w:shd w:val="clear" w:color="auto" w:fill="B6C8D1"/>
            <w:hideMark/>
          </w:tcPr>
          <w:p w:rsidR="00B000E2" w:rsidRPr="00934CA2" w:rsidP="00B000E2" w14:paraId="3EE86093" w14:textId="77777777">
            <w:pPr>
              <w:pStyle w:val="Heading13"/>
              <w:rPr>
                <w:lang w:val="en-GB"/>
              </w:rPr>
            </w:pPr>
            <w:r w:rsidRPr="00934CA2">
              <w:rPr>
                <w:lang w:val="en-GB"/>
              </w:rPr>
              <w:t>Accounting principles</w:t>
            </w:r>
          </w:p>
          <w:p w:rsidR="00B000E2" w:rsidRPr="00934CA2" w:rsidP="00B000E2" w14:paraId="73CDB9F8" w14:textId="3C75C34C">
            <w:pPr>
              <w:pStyle w:val="Bodytext2"/>
              <w:rPr>
                <w:lang w:val="en-GB"/>
              </w:rPr>
            </w:pPr>
            <w:r w:rsidRPr="00934CA2">
              <w:rPr>
                <w:lang w:val="en-GB"/>
              </w:rPr>
              <w:t>Material and services expenses</w:t>
            </w:r>
            <w:r>
              <w:rPr>
                <w:lang w:val="en-GB"/>
              </w:rPr>
              <w:t xml:space="preserve"> relate to</w:t>
            </w:r>
            <w:r w:rsidRPr="00934CA2">
              <w:rPr>
                <w:lang w:val="en-GB"/>
              </w:rPr>
              <w:t xml:space="preserve"> purchases of goods and consumables from suppliers for manufacturing less discounts and </w:t>
            </w:r>
            <w:r>
              <w:rPr>
                <w:lang w:val="en-GB"/>
              </w:rPr>
              <w:t>tax refunds related to purchases</w:t>
            </w:r>
            <w:r w:rsidRPr="00934CA2">
              <w:rPr>
                <w:lang w:val="en-GB"/>
              </w:rPr>
              <w:t>. Exchange gains or losses on accounts payable are included.</w:t>
            </w:r>
          </w:p>
        </w:tc>
      </w:tr>
    </w:tbl>
    <w:p w:rsidR="00B000E2" w:rsidRPr="00B000E2" w:rsidP="00B000E2" w14:paraId="449FED3C" w14:textId="77777777">
      <w:pPr>
        <w:pStyle w:val="Bodytext2"/>
      </w:pPr>
    </w:p>
    <w:tbl>
      <w:tblPr>
        <w:tblStyle w:val="TableNormal"/>
        <w:tblCaption w:val="Table_Material_and_services"/>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Purchases during the financial period</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-1,475</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-1,723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 in inventories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External services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-1,026</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-1,287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-2,551</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-3,003</w:t>
            </w:r>
          </w:p>
        </w:tc>
      </w:tr>
    </w:tbl>
    <w:p/>
    <w:p w:rsidR="003B7706" w:rsidRPr="003B7706" w:rsidP="003B7706" w14:paraId="1C016E65" w14:textId="77777777">
      <w:pPr>
        <w:pStyle w:val="Heading12"/>
      </w:pPr>
      <w:bookmarkStart w:id="1158" w:name="RG_MARKER_4190"/>
      <w:r w:rsidRPr="003B7706">
        <w:t>2.5. EMPLOYEE BENEFIT EXPENSES</w:t>
      </w:r>
      <w:bookmarkEnd w:id="1158"/>
    </w:p>
    <w:tbl>
      <w:tblPr>
        <w:tblStyle w:val="TableGrid"/>
        <w:tblW w:w="7371" w:type="dxa"/>
        <w:tblLook w:val="04A0"/>
      </w:tblPr>
      <w:tblGrid>
        <w:gridCol w:w="7371"/>
      </w:tblGrid>
      <w:tr w14:paraId="229C65FE" w14:textId="77777777" w:rsidTr="003B7706">
        <w:tblPrEx>
          <w:tblW w:w="7371" w:type="dxa"/>
          <w:tblLook w:val="04A0"/>
        </w:tblPrEx>
        <w:tc>
          <w:tcPr>
            <w:tcW w:w="6683" w:type="dxa"/>
            <w:tcBorders>
              <w:top w:val="nil"/>
              <w:left w:val="nil"/>
              <w:bottom w:val="nil"/>
              <w:right w:val="nil"/>
            </w:tcBorders>
            <w:shd w:val="clear" w:color="auto" w:fill="B6C8D1"/>
          </w:tcPr>
          <w:p w:rsidR="003B7706" w:rsidRPr="00CE381E" w:rsidP="003B7706" w14:paraId="7DF4EAE2" w14:textId="77777777">
            <w:pPr>
              <w:pStyle w:val="Heading13"/>
              <w:rPr>
                <w:lang w:val="en-GB"/>
              </w:rPr>
            </w:pPr>
            <w:r w:rsidRPr="00CE381E">
              <w:rPr>
                <w:lang w:val="en-GB"/>
              </w:rPr>
              <w:t>Accounting principles</w:t>
            </w:r>
          </w:p>
          <w:p w:rsidR="003B7706" w:rsidRPr="00CE381E" w:rsidP="003B7706" w14:paraId="37E3EA45" w14:textId="553E6FA2">
            <w:pPr>
              <w:pStyle w:val="Bodytext2"/>
              <w:rPr>
                <w:lang w:val="en-GB"/>
              </w:rPr>
            </w:pPr>
            <w:r w:rsidRPr="00CE381E">
              <w:rPr>
                <w:lang w:val="en-GB"/>
              </w:rPr>
              <w:t>Employee benefits are all forms of consideration given in exchange for service</w:t>
            </w:r>
            <w:r>
              <w:rPr>
                <w:lang w:val="en-GB"/>
              </w:rPr>
              <w:t>s</w:t>
            </w:r>
            <w:r w:rsidRPr="00CE381E">
              <w:rPr>
                <w:lang w:val="en-GB"/>
              </w:rPr>
              <w:t xml:space="preserve"> rendered by employees or for the termination of employment. In addition, the Group has personnel expenses related to share-based payments and other personnel expenses.</w:t>
            </w:r>
          </w:p>
          <w:p w:rsidR="003B7706" w:rsidRPr="00CE381E" w:rsidP="003B7706" w14:paraId="3D9F30CF" w14:textId="77777777">
            <w:pPr>
              <w:pStyle w:val="Bodytext2"/>
              <w:rPr>
                <w:lang w:val="en-GB"/>
              </w:rPr>
            </w:pPr>
          </w:p>
          <w:p w:rsidR="003B7706" w:rsidRPr="00CE381E" w:rsidP="003B7706" w14:paraId="1F204394" w14:textId="4D28AA4A">
            <w:pPr>
              <w:pStyle w:val="Bodytext2"/>
              <w:rPr>
                <w:lang w:val="en-GB"/>
              </w:rPr>
            </w:pPr>
            <w:r w:rsidRPr="00CE381E">
              <w:rPr>
                <w:lang w:val="en-GB"/>
              </w:rPr>
              <w:t xml:space="preserve">The company’s </w:t>
            </w:r>
            <w:r>
              <w:rPr>
                <w:lang w:val="en-GB"/>
              </w:rPr>
              <w:t>incentive</w:t>
            </w:r>
            <w:r w:rsidRPr="00CE381E">
              <w:rPr>
                <w:lang w:val="en-GB"/>
              </w:rPr>
              <w:t xml:space="preserve"> scheme, which is tied to the price development of the company’</w:t>
            </w:r>
            <w:r w:rsidRPr="00CE381E">
              <w:rPr>
                <w:lang w:val="en-GB"/>
              </w:rPr>
              <w:t>s share during a pre</w:t>
            </w:r>
            <w:r>
              <w:rPr>
                <w:lang w:val="en-GB"/>
              </w:rPr>
              <w:t>-</w:t>
            </w:r>
            <w:r w:rsidRPr="00CE381E">
              <w:rPr>
                <w:lang w:val="en-GB"/>
              </w:rPr>
              <w:t>determined timeframe, is measured at the fair value of the share on the reporting date and reported in the statement of income for the term-to-maturity of the bonus scheme. An upper limit is set for the bonus. When a bonus scheme ends,</w:t>
            </w:r>
            <w:r w:rsidRPr="00CE381E">
              <w:rPr>
                <w:lang w:val="en-GB"/>
              </w:rPr>
              <w:t xml:space="preserve"> and the employment requirement is fulfilled, the bonus is settled in cash and/or shares.</w:t>
            </w:r>
          </w:p>
          <w:p w:rsidR="003B7706" w:rsidRPr="00CE381E" w:rsidP="003B7706" w14:paraId="33CD3818" w14:textId="77777777">
            <w:pPr>
              <w:pStyle w:val="Bodytext2"/>
              <w:rPr>
                <w:lang w:val="en-GB"/>
              </w:rPr>
            </w:pPr>
          </w:p>
          <w:p w:rsidR="003B7706" w:rsidRPr="00CE381E" w:rsidP="003B7706" w14:paraId="62EDB474" w14:textId="75A356D4">
            <w:pPr>
              <w:pStyle w:val="Bodytext2"/>
              <w:rPr>
                <w:lang w:val="en-GB"/>
              </w:rPr>
            </w:pPr>
            <w:r w:rsidRPr="00CE381E">
              <w:rPr>
                <w:lang w:val="en-GB"/>
              </w:rPr>
              <w:t>The Group companies have various pension and other post</w:t>
            </w:r>
            <w:r>
              <w:rPr>
                <w:lang w:val="en-GB"/>
              </w:rPr>
              <w:t>-</w:t>
            </w:r>
            <w:r w:rsidRPr="00CE381E">
              <w:rPr>
                <w:lang w:val="en-GB"/>
              </w:rPr>
              <w:t>employment benefit plans in accordance with local conditions and practices worldwide. These plans are classif</w:t>
            </w:r>
            <w:r w:rsidRPr="00CE381E">
              <w:rPr>
                <w:lang w:val="en-GB"/>
              </w:rPr>
              <w:t>ied either</w:t>
            </w:r>
            <w:r>
              <w:rPr>
                <w:lang w:val="en-GB"/>
              </w:rPr>
              <w:t xml:space="preserve"> as</w:t>
            </w:r>
            <w:r w:rsidRPr="00CE381E">
              <w:rPr>
                <w:lang w:val="en-GB"/>
              </w:rPr>
              <w:t xml:space="preserve"> defined contribution plans or defined benefit plans.</w:t>
            </w:r>
          </w:p>
          <w:p w:rsidR="003B7706" w:rsidRPr="00CE381E" w:rsidP="003B7706" w14:paraId="5430A7C5" w14:textId="77777777">
            <w:pPr>
              <w:pStyle w:val="Bodytext2"/>
              <w:rPr>
                <w:lang w:val="en-GB"/>
              </w:rPr>
            </w:pPr>
          </w:p>
          <w:p w:rsidR="003B7706" w:rsidRPr="00CE381E" w:rsidP="003B7706" w14:paraId="69A12467" w14:textId="379CCCE1">
            <w:pPr>
              <w:pStyle w:val="Bodytext2"/>
              <w:rPr>
                <w:lang w:val="en-GB"/>
              </w:rPr>
            </w:pPr>
            <w:r w:rsidRPr="00CE381E">
              <w:rPr>
                <w:lang w:val="en-GB"/>
              </w:rPr>
              <w:t>In defined contribution plans, the Group pay</w:t>
            </w:r>
            <w:r>
              <w:rPr>
                <w:lang w:val="en-GB"/>
              </w:rPr>
              <w:t>s</w:t>
            </w:r>
            <w:r w:rsidRPr="00CE381E">
              <w:rPr>
                <w:lang w:val="en-GB"/>
              </w:rPr>
              <w:t xml:space="preserve"> fixed contributions into a separate entity</w:t>
            </w:r>
            <w:r>
              <w:rPr>
                <w:lang w:val="en-GB"/>
              </w:rPr>
              <w:t>,</w:t>
            </w:r>
            <w:r w:rsidRPr="00CE381E">
              <w:rPr>
                <w:lang w:val="en-GB"/>
              </w:rPr>
              <w:t xml:space="preserve"> such as an </w:t>
            </w:r>
            <w:r w:rsidRPr="00DE4CDC">
              <w:rPr>
                <w:lang w:val="en-GB"/>
              </w:rPr>
              <w:t>insurance company. The Group has no legal or constructive obligation to pay further con</w:t>
            </w:r>
            <w:r w:rsidRPr="00DE4CDC">
              <w:rPr>
                <w:lang w:val="en-GB"/>
              </w:rPr>
              <w:t xml:space="preserve">tributions if the fund does not hold sufficient assets to pay employee benefits. The contributions are recognised </w:t>
            </w:r>
            <w:r>
              <w:rPr>
                <w:lang w:val="en-GB"/>
              </w:rPr>
              <w:t>in</w:t>
            </w:r>
            <w:r w:rsidRPr="00DE4CDC">
              <w:rPr>
                <w:lang w:val="en-GB"/>
              </w:rPr>
              <w:t xml:space="preserve"> employee benefit expenses in the statement of income in the period to which they relate.</w:t>
            </w:r>
          </w:p>
          <w:p w:rsidR="003B7706" w:rsidRPr="00CE381E" w:rsidP="003B7706" w14:paraId="65FE7C93" w14:textId="77777777">
            <w:pPr>
              <w:pStyle w:val="Bodytext2"/>
              <w:rPr>
                <w:lang w:val="en-GB"/>
              </w:rPr>
            </w:pPr>
          </w:p>
          <w:p w:rsidR="003B7706" w:rsidRPr="00CE381E" w:rsidP="003B7706" w14:paraId="6EFE0896" w14:textId="391081DA">
            <w:pPr>
              <w:pStyle w:val="Bodytext2"/>
              <w:rPr>
                <w:lang w:val="en-GB"/>
              </w:rPr>
            </w:pPr>
            <w:r w:rsidRPr="00CE381E">
              <w:rPr>
                <w:lang w:val="en-GB"/>
              </w:rPr>
              <w:t>Accounting principles</w:t>
            </w:r>
            <w:r>
              <w:rPr>
                <w:lang w:val="en-GB"/>
              </w:rPr>
              <w:t xml:space="preserve"> for</w:t>
            </w:r>
            <w:r w:rsidRPr="00CE381E">
              <w:rPr>
                <w:lang w:val="en-GB"/>
              </w:rPr>
              <w:t xml:space="preserve"> defined benefit plan</w:t>
            </w:r>
            <w:r>
              <w:rPr>
                <w:lang w:val="en-GB"/>
              </w:rPr>
              <w:t>s a</w:t>
            </w:r>
            <w:r>
              <w:rPr>
                <w:lang w:val="en-GB"/>
              </w:rPr>
              <w:t>re</w:t>
            </w:r>
            <w:r w:rsidRPr="00CE381E">
              <w:rPr>
                <w:lang w:val="en-GB"/>
              </w:rPr>
              <w:t xml:space="preserve"> presented in Note 4.7. Pension obligations.</w:t>
            </w:r>
          </w:p>
        </w:tc>
      </w:tr>
    </w:tbl>
    <w:p w:rsidR="003B7706" w:rsidRPr="00666923" w:rsidP="003B7706" w14:paraId="650192B8" w14:textId="6778E3A5">
      <w:pPr>
        <w:pStyle w:val="Bodytext2"/>
        <w:rPr>
          <w:sz w:val="2"/>
          <w:szCs w:val="2"/>
        </w:rPr>
      </w:pPr>
      <w:r>
        <w:br w:type="column"/>
      </w:r>
    </w:p>
    <w:tbl>
      <w:tblPr>
        <w:tblStyle w:val="TableNormal"/>
        <w:tblCaption w:val="Table_Employee_benefit_expenses"/>
        <w:tblW w:w="7350" w:type="dxa"/>
        <w:tblLayout w:type="fixed"/>
        <w:tblLook w:val="0600"/>
      </w:tblPr>
      <w:tblGrid>
        <w:gridCol w:w="4860"/>
        <w:gridCol w:w="1245"/>
        <w:gridCol w:w="1245"/>
      </w:tblGrid>
      <w:tr>
        <w:tblPrEx>
          <w:tblW w:w="7350" w:type="dxa"/>
          <w:tblLayout w:type="fixed"/>
          <w:tblLook w:val="0600"/>
        </w:tblPrEx>
        <w:trPr>
          <w:trHeight w:val="240"/>
        </w:trPr>
        <w:tc>
          <w:tcPr>
            <w:tcW w:w="486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Wages and salaries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984</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1,028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Pension costs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Defined benefit plans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Defined contribution plans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64</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compulsory personnel costs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132</w:t>
            </w:r>
          </w:p>
        </w:tc>
        <w:tc>
          <w:tcPr>
            <w:tcW w:w="124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1,192</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1,260</w:t>
            </w:r>
          </w:p>
        </w:tc>
      </w:tr>
    </w:tbl>
    <w:p w:rsidR="003B7706" w:rsidRPr="003B7706" w:rsidP="003B7706" w14:paraId="60706BE3" w14:textId="77777777">
      <w:pPr>
        <w:pStyle w:val="Bodytext2"/>
      </w:pPr>
    </w:p>
    <w:p w:rsidR="003B7706" w:rsidRPr="003B7706" w:rsidP="003B7706" w14:paraId="53E7D475" w14:textId="77777777">
      <w:pPr>
        <w:pStyle w:val="Bodytext2"/>
      </w:pPr>
      <w:r w:rsidRPr="003B7706">
        <w:t>Management remuneration is specified in Note 7.2. Related party disclosures.</w:t>
      </w:r>
    </w:p>
    <w:p w:rsidR="003B7706" w:rsidRPr="003B7706" w:rsidP="003B7706" w14:paraId="7FCE630B" w14:textId="77777777">
      <w:pPr>
        <w:pStyle w:val="Bodytext2"/>
      </w:pPr>
    </w:p>
    <w:p w:rsidR="003B7706" w:rsidRPr="003B7706" w:rsidP="003B7706" w14:paraId="2BBA9555" w14:textId="50311D15">
      <w:pPr>
        <w:pStyle w:val="Heading13"/>
      </w:pPr>
      <w:r w:rsidRPr="003B7706">
        <w:t>Long-term incentive schemes</w:t>
      </w:r>
    </w:p>
    <w:p w:rsidR="00A10062" w:rsidRPr="009D409B" w:rsidP="000561CB" w14:paraId="47077F2D" w14:textId="18C77033">
      <w:pPr>
        <w:pStyle w:val="Bodytext2"/>
      </w:pPr>
      <w:r w:rsidRPr="009D409B">
        <w:t xml:space="preserve">Wages and salaries include EUR 7 million (4) </w:t>
      </w:r>
      <w:r>
        <w:t xml:space="preserve">in </w:t>
      </w:r>
      <w:r w:rsidRPr="009D409B">
        <w:t>expenses arising from share</w:t>
      </w:r>
      <w:r>
        <w:t>-</w:t>
      </w:r>
      <w:r w:rsidRPr="009D409B">
        <w:t>based long-term incentive schemes. At the end of 2020</w:t>
      </w:r>
      <w:r>
        <w:t>,</w:t>
      </w:r>
      <w:r w:rsidRPr="009D409B">
        <w:t xml:space="preserve"> Wärtsilä had three</w:t>
      </w:r>
      <w:r>
        <w:t xml:space="preserve"> active</w:t>
      </w:r>
      <w:r w:rsidRPr="009D409B">
        <w:t xml:space="preserve"> long-term incentive schemes. These schemes are tied to the price development of the company’s share</w:t>
      </w:r>
      <w:r w:rsidRPr="009D409B">
        <w:t xml:space="preserve"> during a pre</w:t>
      </w:r>
      <w:r>
        <w:t>-</w:t>
      </w:r>
      <w:r w:rsidRPr="009D409B">
        <w:t>determined timeframe, and an upper limit is set for the payable incentive. When an incentive scheme ends and the employment requirement is fulfilled, the incentive is settled in cash (2018-2020 incentive scheme) or in company shares (2019-202</w:t>
      </w:r>
      <w:r w:rsidRPr="009D409B">
        <w:t>1 and 2020-2022 incentive schemes). The Board of Management members shall</w:t>
      </w:r>
      <w:r>
        <w:t xml:space="preserve"> </w:t>
      </w:r>
      <w:r w:rsidRPr="009D409B">
        <w:t>acquire Wärtsilä shares with 50% of the net bonuses received, until the share ownership corresponding to the individuals' annual gross base salary level has been achieved.</w:t>
      </w:r>
    </w:p>
    <w:p w:rsidR="00A10062" w:rsidRPr="009D409B" w:rsidP="000561CB" w14:paraId="05A6B9B1" w14:textId="77777777">
      <w:pPr>
        <w:pStyle w:val="Bodytext2"/>
      </w:pPr>
    </w:p>
    <w:p w:rsidR="00A10062" w:rsidRPr="009D409B" w:rsidP="000561CB" w14:paraId="682E74B2" w14:textId="77F576A2">
      <w:pPr>
        <w:pStyle w:val="Bodytext2"/>
      </w:pPr>
      <w:r w:rsidRPr="009D409B">
        <w:t>The payme</w:t>
      </w:r>
      <w:r w:rsidRPr="009D409B">
        <w:t>nt for incentive schemes is based on the share price development during a three-year period. The 2018-2020 incentive scheme comprises 3,150,000 rights, the 2019-2021 incentive scheme 4,585,000 rights and the 2020-2022 incentive scheme 8,400,000 rights. For</w:t>
      </w:r>
      <w:r w:rsidRPr="009D409B">
        <w:t xml:space="preserve"> the incentive scheme 2018-2020 the</w:t>
      </w:r>
      <w:r>
        <w:t xml:space="preserve"> share price</w:t>
      </w:r>
      <w:r w:rsidRPr="009D409B">
        <w:t xml:space="preserve"> basis is EUR 22.58, for the incentive scheme 2019-2021 EUR 16.76</w:t>
      </w:r>
      <w:r>
        <w:t>,</w:t>
      </w:r>
      <w:r w:rsidRPr="009D409B">
        <w:t xml:space="preserve"> and for the incentive scheme 2020-2022 EUR 11.10. The incentive schemes take into account 100% of dividends paid, and the</w:t>
      </w:r>
      <w:r w:rsidRPr="00A10062">
        <w:rPr>
          <w:sz w:val="17"/>
        </w:rPr>
        <w:t xml:space="preserve"> </w:t>
      </w:r>
      <w:r w:rsidRPr="009D409B">
        <w:t>paid bonus cannot ex</w:t>
      </w:r>
      <w:r w:rsidRPr="009D409B">
        <w:t>ceed EUR 8.47 per incentive right in the 2018-2020 scheme, EUR 6.56 in the 2019-2021 scheme</w:t>
      </w:r>
      <w:r>
        <w:t>,</w:t>
      </w:r>
      <w:r w:rsidRPr="009D409B">
        <w:t xml:space="preserve"> or EUR 4.31 in the 2020-2022 scheme.</w:t>
      </w:r>
    </w:p>
    <w:p w:rsidR="00A10062" w:rsidRPr="009D409B" w:rsidP="000561CB" w14:paraId="593FAFBF" w14:textId="77777777">
      <w:pPr>
        <w:pStyle w:val="Bodytext2"/>
        <w:rPr>
          <w:szCs w:val="15"/>
          <w:lang w:val="en-GB"/>
        </w:rPr>
      </w:pPr>
    </w:p>
    <w:p w:rsidR="00A10062" w:rsidRPr="009D409B" w:rsidP="000561CB" w14:paraId="7B461F7B" w14:textId="74D3FD4F">
      <w:pPr>
        <w:pStyle w:val="Bodytext2"/>
        <w:rPr>
          <w:szCs w:val="15"/>
          <w:lang w:val="en-GB"/>
        </w:rPr>
      </w:pPr>
      <w:r w:rsidRPr="009D409B">
        <w:rPr>
          <w:szCs w:val="15"/>
          <w:lang w:val="en-GB"/>
        </w:rPr>
        <w:t xml:space="preserve">The incentive rights, which are settled in cash, are valued and recognised at fair value </w:t>
      </w:r>
      <w:r>
        <w:rPr>
          <w:szCs w:val="15"/>
          <w:lang w:val="en-GB"/>
        </w:rPr>
        <w:t>on</w:t>
      </w:r>
      <w:r w:rsidRPr="009D409B">
        <w:rPr>
          <w:szCs w:val="15"/>
          <w:lang w:val="en-GB"/>
        </w:rPr>
        <w:t xml:space="preserve"> the balance sheet date taking into account the proportion of vesting period passed. The incentive rights, which are settled in company shares, are valued at fair value </w:t>
      </w:r>
      <w:r>
        <w:rPr>
          <w:szCs w:val="15"/>
          <w:lang w:val="en-GB"/>
        </w:rPr>
        <w:t>on</w:t>
      </w:r>
      <w:r w:rsidRPr="009D409B">
        <w:rPr>
          <w:szCs w:val="15"/>
          <w:lang w:val="en-GB"/>
        </w:rPr>
        <w:t xml:space="preserve"> the grant date of the scheme and </w:t>
      </w:r>
      <w:r>
        <w:rPr>
          <w:szCs w:val="15"/>
          <w:lang w:val="en-GB"/>
        </w:rPr>
        <w:t xml:space="preserve">are </w:t>
      </w:r>
      <w:r w:rsidRPr="009D409B">
        <w:rPr>
          <w:szCs w:val="15"/>
          <w:lang w:val="en-GB"/>
        </w:rPr>
        <w:t xml:space="preserve">expensed evenly during the vesting period. The </w:t>
      </w:r>
      <w:r w:rsidRPr="009D409B">
        <w:rPr>
          <w:szCs w:val="15"/>
          <w:lang w:val="en-GB"/>
        </w:rPr>
        <w:t>fair value determined for the incentive right in 2019-2021 scheme is EUR 2.69 and in 2020-2022 scheme EUR 1.34</w:t>
      </w:r>
      <w:r>
        <w:rPr>
          <w:szCs w:val="15"/>
          <w:lang w:val="en-GB"/>
        </w:rPr>
        <w:t>.</w:t>
      </w:r>
    </w:p>
    <w:p w:rsidR="003B7706" w:rsidRPr="00A10062" w:rsidP="003B7706" w14:paraId="63D7D195" w14:textId="77777777">
      <w:pPr>
        <w:pStyle w:val="Bodytext2"/>
        <w:rPr>
          <w:lang w:val="en-GB"/>
        </w:rPr>
      </w:pPr>
    </w:p>
    <w:tbl>
      <w:tblPr>
        <w:tblStyle w:val="TableNormal"/>
        <w:tblCaption w:val="Table_Personnel"/>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Personnel on average</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18,307</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19,110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Personnel at the end of the financial period</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17,792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18,795</w:t>
            </w:r>
          </w:p>
        </w:tc>
      </w:tr>
    </w:tbl>
    <w:p w:rsidR="00B14CC9" w:rsidRPr="00464CA9" w:rsidP="003B7706" w14:textId="7051416B">
      <w:pPr>
        <w:pStyle w:val="Bodytext2"/>
        <w:rPr>
          <w:sz w:val="2"/>
          <w:szCs w:val="2"/>
        </w:rPr>
      </w:pPr>
      <w:r>
        <w:br w:type="column"/>
      </w:r>
    </w:p>
    <w:p w:rsidR="0096005C" w:rsidRPr="0096005C" w:rsidP="0096005C" w14:paraId="0CE26553" w14:textId="77777777">
      <w:pPr>
        <w:pStyle w:val="Heading12"/>
      </w:pPr>
      <w:bookmarkStart w:id="1159" w:name="RG_MARKER_4189"/>
      <w:r w:rsidRPr="0096005C">
        <w:t>2.6. INCOME TAXES</w:t>
      </w:r>
      <w:bookmarkEnd w:id="1159"/>
    </w:p>
    <w:tbl>
      <w:tblPr>
        <w:tblStyle w:val="TableGrid"/>
        <w:tblW w:w="7371" w:type="dxa"/>
        <w:tblLook w:val="04A0"/>
      </w:tblPr>
      <w:tblGrid>
        <w:gridCol w:w="7371"/>
      </w:tblGrid>
      <w:tr w14:paraId="4786AFD1" w14:textId="77777777" w:rsidTr="0096005C">
        <w:tblPrEx>
          <w:tblW w:w="7371" w:type="dxa"/>
          <w:tblLook w:val="04A0"/>
        </w:tblPrEx>
        <w:tc>
          <w:tcPr>
            <w:tcW w:w="7371" w:type="dxa"/>
            <w:tcBorders>
              <w:top w:val="nil"/>
              <w:left w:val="nil"/>
              <w:bottom w:val="nil"/>
              <w:right w:val="nil"/>
            </w:tcBorders>
            <w:shd w:val="clear" w:color="auto" w:fill="B6C8D1"/>
          </w:tcPr>
          <w:p w:rsidR="0096005C" w:rsidRPr="00D40C99" w:rsidP="0096005C" w14:paraId="6455DA05" w14:textId="77777777">
            <w:pPr>
              <w:pStyle w:val="Heading13"/>
              <w:rPr>
                <w:lang w:val="en-GB"/>
              </w:rPr>
            </w:pPr>
            <w:r w:rsidRPr="00D40C99">
              <w:rPr>
                <w:lang w:val="en-GB"/>
              </w:rPr>
              <w:t>Accounting principles</w:t>
            </w:r>
          </w:p>
          <w:p w:rsidR="0096005C" w:rsidRPr="00B645E9" w:rsidP="0096005C" w14:paraId="4C99ECD9" w14:textId="77777777">
            <w:pPr>
              <w:pStyle w:val="Bodytext2"/>
              <w:rPr>
                <w:lang w:val="en-GB"/>
              </w:rPr>
            </w:pPr>
            <w:r w:rsidRPr="00B645E9">
              <w:rPr>
                <w:lang w:val="en-GB"/>
              </w:rPr>
              <w:t>The statement of income includes taxes payable based</w:t>
            </w:r>
            <w:r w:rsidRPr="00B645E9">
              <w:rPr>
                <w:lang w:val="en-GB"/>
              </w:rPr>
              <w:t xml:space="preserve"> on the Group’s consolidated taxable income for the financial period in accordance with local tax regulations, tax adjustments for previous financial periods, and changes in deferred taxes. Tax effects related to transactions recognised through the stateme</w:t>
            </w:r>
            <w:r w:rsidRPr="00B645E9">
              <w:rPr>
                <w:lang w:val="en-GB"/>
              </w:rPr>
              <w:t>nt of income and other events are recognised in the statement of income. Tax effects related to transactions or other events to be presented as components of other comprehensive income or directly in equity are also recognised, respectively, in other compr</w:t>
            </w:r>
            <w:r w:rsidRPr="00B645E9">
              <w:rPr>
                <w:lang w:val="en-GB"/>
              </w:rPr>
              <w:t>ehensive income or directly in equity.</w:t>
            </w:r>
          </w:p>
          <w:p w:rsidR="0096005C" w:rsidRPr="00B645E9" w:rsidP="0096005C" w14:paraId="48202469" w14:textId="77777777">
            <w:pPr>
              <w:pStyle w:val="Bodytext2"/>
              <w:rPr>
                <w:lang w:val="en-GB"/>
              </w:rPr>
            </w:pPr>
          </w:p>
          <w:p w:rsidR="0096005C" w:rsidRPr="00B645E9" w:rsidP="0096005C" w14:paraId="1421B959" w14:textId="1B8FB423">
            <w:pPr>
              <w:pStyle w:val="Bodytext2"/>
              <w:rPr>
                <w:lang w:val="en-GB"/>
              </w:rPr>
            </w:pPr>
            <w:r w:rsidRPr="00B645E9">
              <w:rPr>
                <w:lang w:val="en-GB"/>
              </w:rPr>
              <w:t xml:space="preserve">The current income tax charge is calculated </w:t>
            </w:r>
            <w:r>
              <w:rPr>
                <w:lang w:val="en-GB"/>
              </w:rPr>
              <w:t>according to</w:t>
            </w:r>
            <w:r w:rsidRPr="00B645E9">
              <w:rPr>
                <w:lang w:val="en-GB"/>
              </w:rPr>
              <w:t xml:space="preserve"> tax laws enacted</w:t>
            </w:r>
            <w:r>
              <w:rPr>
                <w:lang w:val="en-GB"/>
              </w:rPr>
              <w:t>,</w:t>
            </w:r>
            <w:r w:rsidRPr="00B645E9">
              <w:rPr>
                <w:lang w:val="en-GB"/>
              </w:rPr>
              <w:t xml:space="preserve"> or substantively enacted</w:t>
            </w:r>
            <w:r>
              <w:rPr>
                <w:lang w:val="en-GB"/>
              </w:rPr>
              <w:t>,</w:t>
            </w:r>
            <w:r w:rsidRPr="00B645E9">
              <w:rPr>
                <w:lang w:val="en-GB"/>
              </w:rPr>
              <w:t xml:space="preserve"> on the balance sheet date in the countries where the company and its subsidiaries operate and generate taxable inco</w:t>
            </w:r>
            <w:r w:rsidRPr="00B645E9">
              <w:rPr>
                <w:lang w:val="en-GB"/>
              </w:rPr>
              <w:t>me.</w:t>
            </w:r>
          </w:p>
          <w:p w:rsidR="0096005C" w:rsidRPr="00B645E9" w:rsidP="0096005C" w14:paraId="6CD03FB4" w14:textId="77777777">
            <w:pPr>
              <w:pStyle w:val="Bodytext2"/>
              <w:rPr>
                <w:lang w:val="en-GB"/>
              </w:rPr>
            </w:pPr>
          </w:p>
          <w:p w:rsidR="0096005C" w:rsidRPr="00B645E9" w:rsidP="0096005C" w14:paraId="0C28DB53" w14:textId="77777777">
            <w:pPr>
              <w:pStyle w:val="Heading13"/>
              <w:rPr>
                <w:lang w:val="en-GB"/>
              </w:rPr>
            </w:pPr>
            <w:r w:rsidRPr="00B645E9">
              <w:rPr>
                <w:lang w:val="en-GB"/>
              </w:rPr>
              <w:t>Accounting estimates and judgements</w:t>
            </w:r>
          </w:p>
          <w:p w:rsidR="0096005C" w:rsidRPr="00D40C99" w:rsidP="0096005C" w14:paraId="1672A73E" w14:textId="6375CED3">
            <w:pPr>
              <w:pStyle w:val="Bodytext2"/>
              <w:rPr>
                <w:lang w:val="en-GB"/>
              </w:rPr>
            </w:pPr>
            <w:r w:rsidRPr="00B645E9">
              <w:rPr>
                <w:lang w:val="en-GB"/>
              </w:rPr>
              <w:t>The Group is subject to income taxes in several jurisdictions and the computation of the Group´s income tax expense and income tax liabilities require judgement and estimation. Income tax positions are regularly eva</w:t>
            </w:r>
            <w:r w:rsidRPr="00B645E9">
              <w:rPr>
                <w:lang w:val="en-GB"/>
              </w:rPr>
              <w:t>luated by the management to identify situations when there might be uncertainty due to tax regulation being subject to interpretation. Provisions</w:t>
            </w:r>
            <w:r w:rsidRPr="00D40C99">
              <w:rPr>
                <w:lang w:val="en-GB"/>
              </w:rPr>
              <w:t xml:space="preserve"> for these uncertain tax positions are recognised when it is considered more likely than not that the positions</w:t>
            </w:r>
            <w:r w:rsidRPr="00D40C99">
              <w:rPr>
                <w:lang w:val="en-GB"/>
              </w:rPr>
              <w:t xml:space="preserve"> will be challenged by the tax authorities. The provision recognised is based on the estimation of the amount of the final taxes to be paid</w:t>
            </w:r>
            <w:r>
              <w:rPr>
                <w:lang w:val="en-GB"/>
              </w:rPr>
              <w:t xml:space="preserve"> to</w:t>
            </w:r>
            <w:r w:rsidRPr="00D40C99">
              <w:rPr>
                <w:lang w:val="en-GB"/>
              </w:rPr>
              <w:t xml:space="preserve"> the tax authorities.</w:t>
            </w:r>
          </w:p>
        </w:tc>
      </w:tr>
    </w:tbl>
    <w:p w:rsidR="0096005C" w:rsidRPr="0096005C" w:rsidP="0096005C" w14:paraId="1513CAE8" w14:textId="77777777">
      <w:pPr>
        <w:pStyle w:val="Bodytext2"/>
      </w:pPr>
    </w:p>
    <w:tbl>
      <w:tblPr>
        <w:tblStyle w:val="TableNormal"/>
        <w:tblCaption w:val="table_income_taxes"/>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center"/>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taxes</w:t>
            </w: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for the financial period</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for prior financial periods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 in deferred tax</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origination and reversal of temporary differences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tax rates</w:t>
            </w:r>
          </w:p>
        </w:tc>
        <w:tc>
          <w:tcPr>
            <w:tcW w:w="1245" w:type="dxa"/>
            <w:tcBorders>
              <w:top w:val="nil"/>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Reconciliation of effective tax rate:</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before taxes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 calculated at the domestic corporate tax rate 20.0%</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Effect of changed tax rates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Effect of different tax rates in foreign subsidiaries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Effect of income not subject to tax and non-deductible expenses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Effect of share of result of associates and joint ventures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Utilisation of previously unrecognised tax losses carried forward</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Unrecognised taxes on losses carried forward</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taxes*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temporary differences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taxes for prior financial periods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24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Tax charge in the consolidated statement of income</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Effective tax rate (%)</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30.7</w:t>
            </w:r>
          </w:p>
        </w:tc>
      </w:tr>
    </w:tbl>
    <w:p w:rsidR="0096005C" w:rsidRPr="0096005C" w:rsidP="0096005C" w14:paraId="66F70B0D" w14:textId="77777777">
      <w:pPr>
        <w:pStyle w:val="Bodytext2"/>
      </w:pPr>
    </w:p>
    <w:p w:rsidR="0096005C" w:rsidRPr="00B645E9" w:rsidP="0096005C" w14:paraId="2E6FD647" w14:textId="398C601A">
      <w:pPr>
        <w:pStyle w:val="Bodytext2"/>
      </w:pPr>
      <w:r w:rsidRPr="00B645E9">
        <w:t>* Other taxes consist mainly of wit</w:t>
      </w:r>
      <w:r>
        <w:t>h</w:t>
      </w:r>
      <w:r w:rsidRPr="00B645E9">
        <w:t>holding taxes not utilised an</w:t>
      </w:r>
      <w:r w:rsidRPr="00B645E9">
        <w:t>d taxes not directly based on taxable income.</w:t>
      </w:r>
    </w:p>
    <w:p w:rsidR="0096005C" w:rsidRPr="0096005C" w:rsidP="0096005C" w14:paraId="137C327E" w14:textId="5699923A">
      <w:pPr>
        <w:pStyle w:val="Bodytext2"/>
      </w:pPr>
    </w:p>
    <w:p w:rsidR="0096005C" w:rsidRPr="0096005C" w:rsidP="0096005C" w14:paraId="74B58268" w14:textId="77777777">
      <w:pPr>
        <w:pStyle w:val="Bodytext2"/>
      </w:pPr>
      <w:r w:rsidRPr="0096005C">
        <w:t>Income taxes related to other comprehensive income are presented in Consolidated statement of comprehensive income. Changes in deferred tax assets and liabilities are presented in Note 4.6. Deferred taxes.</w:t>
      </w:r>
    </w:p>
    <w:p w:rsidR="0096005C" w:rsidRPr="0096005C" w:rsidP="0096005C" w14:paraId="7258BD06" w14:textId="77777777">
      <w:pPr>
        <w:pStyle w:val="Bodytext2"/>
      </w:pPr>
    </w:p>
    <w:p w:rsidR="00B14CC9" w:rsidRPr="0096005C" w:rsidP="0096005C" w14:textId="0D79DEC0">
      <w:pPr>
        <w:pStyle w:val="Bodytext2"/>
      </w:pPr>
      <w:r w:rsidRPr="0096005C">
        <w:t>I</w:t>
      </w:r>
      <w:r w:rsidRPr="0096005C">
        <w:t>n some countries Wärtsilä is subject to tax audits, which can result in tax reassessment decisions and obligations to pay additional taxes and related payments.</w:t>
      </w:r>
    </w:p>
    <w:p/>
    <w:p w:rsidR="002930E7" w:rsidP="002930E7" w14:paraId="4E9E60F6" w14:textId="77777777">
      <w:pPr>
        <w:pStyle w:val="Heading12"/>
      </w:pPr>
      <w:bookmarkStart w:id="1160" w:name="RG_MARKER_4188"/>
      <w:r>
        <w:t>2.7. EARNINGS PER SHARE</w:t>
      </w:r>
      <w:bookmarkEnd w:id="1160"/>
    </w:p>
    <w:p w:rsidR="002930E7" w:rsidP="002930E7" w14:paraId="23C70698" w14:textId="77777777">
      <w:pPr>
        <w:pStyle w:val="Bodytext2"/>
        <w:rPr>
          <w:szCs w:val="15"/>
        </w:rPr>
      </w:pPr>
      <w:r>
        <w:rPr>
          <w:szCs w:val="15"/>
        </w:rPr>
        <w:t xml:space="preserve">Earnings per share is calculated by dividing the profit for the financial period attributable to equity holders of the parent company by the adjusted average number of shares outstanding. During the financial periods there were no programmes with dilutive </w:t>
      </w:r>
      <w:r>
        <w:rPr>
          <w:szCs w:val="15"/>
        </w:rPr>
        <w:t>effect.</w:t>
      </w:r>
    </w:p>
    <w:p w:rsidR="002930E7" w:rsidP="002930E7" w14:paraId="2554AFD1" w14:textId="77777777">
      <w:pPr>
        <w:pStyle w:val="Bodytext2"/>
        <w:rPr>
          <w:sz w:val="18"/>
          <w:szCs w:val="22"/>
        </w:rPr>
      </w:pPr>
    </w:p>
    <w:tbl>
      <w:tblPr>
        <w:tblStyle w:val="TableNormal"/>
        <w:tblCaption w:val="table_EPS"/>
        <w:tblW w:w="7365" w:type="dxa"/>
        <w:tblLayout w:type="fixed"/>
        <w:tblLook w:val="0600"/>
      </w:tblPr>
      <w:tblGrid>
        <w:gridCol w:w="4185"/>
        <w:gridCol w:w="1590"/>
        <w:gridCol w:w="1590"/>
      </w:tblGrid>
      <w:tr>
        <w:tblPrEx>
          <w:tblW w:w="7365" w:type="dxa"/>
          <w:tblLayout w:type="fixed"/>
          <w:tblLook w:val="0600"/>
        </w:tblPrEx>
        <w:trPr>
          <w:trHeight w:hRule="exact" w:val="255"/>
        </w:trPr>
        <w:tc>
          <w:tcPr>
            <w:tcW w:w="4185" w:type="dxa"/>
            <w:tcBorders>
              <w:top w:val="nil"/>
              <w:left w:val="nil"/>
              <w:bottom w:val="single" w:sz="8" w:space="0" w:color="000000"/>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00000"/>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00000"/>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5"/>
        </w:trPr>
        <w:tc>
          <w:tcPr>
            <w:tcW w:w="4185" w:type="dxa"/>
            <w:tcBorders>
              <w:top w:val="single" w:sz="8" w:space="0" w:color="000000"/>
              <w:left w:val="nil"/>
              <w:bottom w:val="single" w:sz="4" w:space="0" w:color="000000"/>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for the financial period attributable to equity holders of the parent company</w:t>
            </w:r>
          </w:p>
        </w:tc>
        <w:tc>
          <w:tcPr>
            <w:tcW w:w="1590" w:type="dxa"/>
            <w:tcBorders>
              <w:top w:val="single" w:sz="8" w:space="0" w:color="000000"/>
              <w:left w:val="nil"/>
              <w:bottom w:val="single" w:sz="4" w:space="0" w:color="000000"/>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134</w:t>
            </w:r>
          </w:p>
        </w:tc>
        <w:tc>
          <w:tcPr>
            <w:tcW w:w="1590" w:type="dxa"/>
            <w:tcBorders>
              <w:top w:val="single" w:sz="8" w:space="0" w:color="000000"/>
              <w:left w:val="nil"/>
              <w:bottom w:val="single" w:sz="4" w:space="0" w:color="000000"/>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5"/>
        </w:trPr>
        <w:tc>
          <w:tcPr>
            <w:tcW w:w="4185" w:type="dxa"/>
            <w:tcBorders>
              <w:top w:val="single" w:sz="4" w:space="0" w:color="000000"/>
              <w:left w:val="nil"/>
              <w:bottom w:val="single" w:sz="4" w:space="0" w:color="000000"/>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0000"/>
              <w:left w:val="nil"/>
              <w:bottom w:val="single" w:sz="4" w:space="0" w:color="000000"/>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0000"/>
              <w:left w:val="nil"/>
              <w:bottom w:val="single" w:sz="4" w:space="0" w:color="000000"/>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5"/>
        </w:trPr>
        <w:tc>
          <w:tcPr>
            <w:tcW w:w="4185" w:type="dxa"/>
            <w:tcBorders>
              <w:top w:val="single" w:sz="4" w:space="0" w:color="000000"/>
              <w:left w:val="nil"/>
              <w:bottom w:val="single" w:sz="4" w:space="0" w:color="000000"/>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Thousands of shares</w:t>
            </w:r>
          </w:p>
        </w:tc>
        <w:tc>
          <w:tcPr>
            <w:tcW w:w="1590" w:type="dxa"/>
            <w:tcBorders>
              <w:top w:val="single" w:sz="4" w:space="0" w:color="000000"/>
              <w:left w:val="nil"/>
              <w:bottom w:val="single" w:sz="4" w:space="0" w:color="000000"/>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0000"/>
              <w:left w:val="nil"/>
              <w:bottom w:val="single" w:sz="4" w:space="0" w:color="000000"/>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5"/>
        </w:trPr>
        <w:tc>
          <w:tcPr>
            <w:tcW w:w="4185" w:type="dxa"/>
            <w:tcBorders>
              <w:top w:val="single" w:sz="4" w:space="0" w:color="000000"/>
              <w:left w:val="nil"/>
              <w:bottom w:val="single" w:sz="4" w:space="0" w:color="000000"/>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adjusted average number of shares outstanding*</w:t>
            </w:r>
          </w:p>
        </w:tc>
        <w:tc>
          <w:tcPr>
            <w:tcW w:w="1590" w:type="dxa"/>
            <w:tcBorders>
              <w:top w:val="single" w:sz="4" w:space="0" w:color="000000"/>
              <w:left w:val="nil"/>
              <w:bottom w:val="single" w:sz="4" w:space="0" w:color="000000"/>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591,723</w:t>
            </w:r>
          </w:p>
        </w:tc>
        <w:tc>
          <w:tcPr>
            <w:tcW w:w="1590" w:type="dxa"/>
            <w:tcBorders>
              <w:top w:val="single" w:sz="4" w:space="0" w:color="000000"/>
              <w:left w:val="nil"/>
              <w:bottom w:val="single" w:sz="4" w:space="0" w:color="000000"/>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591,723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5"/>
        </w:trPr>
        <w:tc>
          <w:tcPr>
            <w:tcW w:w="4185" w:type="dxa"/>
            <w:tcBorders>
              <w:top w:val="single" w:sz="4" w:space="0" w:color="000000"/>
              <w:left w:val="nil"/>
              <w:bottom w:val="single" w:sz="4" w:space="0" w:color="000000"/>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0000"/>
              <w:left w:val="nil"/>
              <w:bottom w:val="single" w:sz="4" w:space="0" w:color="000000"/>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0000"/>
              <w:left w:val="nil"/>
              <w:bottom w:val="single" w:sz="4" w:space="0" w:color="000000"/>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5"/>
        </w:trPr>
        <w:tc>
          <w:tcPr>
            <w:tcW w:w="4185" w:type="dxa"/>
            <w:tcBorders>
              <w:top w:val="single" w:sz="4" w:space="0" w:color="000000"/>
              <w:left w:val="nil"/>
              <w:bottom w:val="single" w:sz="4" w:space="0" w:color="000000"/>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Earnings per share attributable to equity holders of the parent company (basic and diluted):</w:t>
            </w:r>
          </w:p>
        </w:tc>
        <w:tc>
          <w:tcPr>
            <w:tcW w:w="1590" w:type="dxa"/>
            <w:tcBorders>
              <w:top w:val="single" w:sz="4" w:space="0" w:color="000000"/>
              <w:left w:val="nil"/>
              <w:bottom w:val="single" w:sz="4" w:space="0" w:color="000000"/>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0000"/>
              <w:left w:val="nil"/>
              <w:bottom w:val="single" w:sz="4" w:space="0" w:color="000000"/>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55"/>
        </w:trPr>
        <w:tc>
          <w:tcPr>
            <w:tcW w:w="4185" w:type="dxa"/>
            <w:tcBorders>
              <w:top w:val="single" w:sz="4" w:space="0" w:color="000000"/>
              <w:left w:val="nil"/>
              <w:bottom w:val="single" w:sz="4" w:space="0" w:color="000000"/>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Earnings per share (EPS), basic and diluted, EUR</w:t>
            </w:r>
          </w:p>
        </w:tc>
        <w:tc>
          <w:tcPr>
            <w:tcW w:w="1590" w:type="dxa"/>
            <w:tcBorders>
              <w:top w:val="single" w:sz="4" w:space="0" w:color="000000"/>
              <w:left w:val="nil"/>
              <w:bottom w:val="single" w:sz="4" w:space="0" w:color="000000"/>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0.23</w:t>
            </w:r>
          </w:p>
        </w:tc>
        <w:tc>
          <w:tcPr>
            <w:tcW w:w="1590" w:type="dxa"/>
            <w:tcBorders>
              <w:top w:val="single" w:sz="4" w:space="0" w:color="000000"/>
              <w:left w:val="nil"/>
              <w:bottom w:val="single" w:sz="4" w:space="0" w:color="000000"/>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0.37</w:t>
            </w:r>
          </w:p>
        </w:tc>
      </w:tr>
    </w:tbl>
    <w:p w:rsidR="002930E7" w:rsidP="002930E7" w14:paraId="68C7B63E" w14:textId="77777777">
      <w:pPr>
        <w:pStyle w:val="Bodytext2"/>
        <w:rPr>
          <w:szCs w:val="15"/>
        </w:rPr>
      </w:pPr>
    </w:p>
    <w:p w:rsidR="002930E7" w:rsidRPr="000D09DD" w:rsidP="002930E7" w14:paraId="50A75A57" w14:textId="158BC75D">
      <w:pPr>
        <w:pStyle w:val="Bodytext2"/>
        <w:rPr>
          <w:sz w:val="2"/>
          <w:szCs w:val="2"/>
        </w:rPr>
      </w:pPr>
      <w:r>
        <w:rPr>
          <w:szCs w:val="15"/>
        </w:rPr>
        <w:t>* Additional information on the number of shares is presented in Note 5.5. Equity.</w:t>
      </w:r>
      <w:r>
        <w:rPr>
          <w:szCs w:val="15"/>
        </w:rPr>
        <w:br w:type="column"/>
      </w:r>
    </w:p>
    <w:p w:rsidR="002D612E" w:rsidP="002D612E" w14:paraId="284F449C" w14:textId="77777777">
      <w:pPr>
        <w:pStyle w:val="Heading11"/>
      </w:pPr>
      <w:bookmarkStart w:id="1161" w:name="RG_MARKER_4183"/>
      <w:bookmarkStart w:id="1162" w:name="RG_MARKER_3742"/>
      <w:r>
        <w:t>3. INTANGIBLE AND TANGIBLE ASSETS</w:t>
      </w:r>
      <w:bookmarkEnd w:id="1162"/>
      <w:bookmarkEnd w:id="1161"/>
    </w:p>
    <w:p w:rsidR="002D612E" w:rsidP="002D612E" w14:paraId="0407DC9B" w14:textId="77777777">
      <w:pPr>
        <w:pStyle w:val="Heading12"/>
      </w:pPr>
      <w:r>
        <w:t>3.1. GOODWILL</w:t>
      </w:r>
    </w:p>
    <w:tbl>
      <w:tblPr>
        <w:tblStyle w:val="TableGrid"/>
        <w:tblW w:w="7371" w:type="dxa"/>
        <w:tblLook w:val="04A0"/>
      </w:tblPr>
      <w:tblGrid>
        <w:gridCol w:w="7371"/>
      </w:tblGrid>
      <w:tr w14:paraId="23D3BC41" w14:textId="77777777" w:rsidTr="002D612E">
        <w:tblPrEx>
          <w:tblW w:w="7371" w:type="dxa"/>
          <w:tblLook w:val="04A0"/>
        </w:tblPrEx>
        <w:tc>
          <w:tcPr>
            <w:tcW w:w="6683" w:type="dxa"/>
            <w:tcBorders>
              <w:top w:val="nil"/>
              <w:left w:val="nil"/>
              <w:bottom w:val="nil"/>
              <w:right w:val="nil"/>
            </w:tcBorders>
            <w:shd w:val="clear" w:color="auto" w:fill="B6C8D1"/>
          </w:tcPr>
          <w:p w:rsidR="002D612E" w:rsidRPr="00DA38BD" w:rsidP="002D612E" w14:paraId="3CA6E82C" w14:textId="77777777">
            <w:pPr>
              <w:pStyle w:val="Heading13"/>
              <w:rPr>
                <w:lang w:val="en-GB"/>
              </w:rPr>
            </w:pPr>
            <w:r w:rsidRPr="00DA38BD">
              <w:rPr>
                <w:lang w:val="en-GB"/>
              </w:rPr>
              <w:t>Accounting principles</w:t>
            </w:r>
          </w:p>
          <w:p w:rsidR="002D612E" w:rsidRPr="00D56E97" w:rsidP="002D612E" w14:paraId="6A25ACDC" w14:textId="2C4FFF78">
            <w:pPr>
              <w:pStyle w:val="Bodytext2"/>
              <w:rPr>
                <w:color w:val="0F172B"/>
                <w:szCs w:val="15"/>
                <w:lang w:val="en-GB"/>
              </w:rPr>
            </w:pPr>
            <w:r w:rsidRPr="00DA38BD">
              <w:rPr>
                <w:color w:val="0F172B"/>
                <w:szCs w:val="15"/>
                <w:lang w:val="en-GB"/>
              </w:rPr>
              <w:t xml:space="preserve">Goodwill is the difference between the aggregate of the acquisition-date fair value of the consideration transferred, and the acquirer’s share of the company’s net </w:t>
            </w:r>
            <w:r w:rsidRPr="00DA38BD">
              <w:rPr>
                <w:color w:val="0F172B"/>
                <w:szCs w:val="15"/>
                <w:lang w:val="en-GB"/>
              </w:rPr>
              <w:t>identifiable assets and liabilities measured at fair value on the acquisition date. The consideration is measured at fair value, including also the acquirer’s previously held equity interest.</w:t>
            </w:r>
          </w:p>
          <w:p w:rsidR="002D612E" w:rsidRPr="00D56E97" w:rsidP="002D612E" w14:paraId="42655BB3" w14:textId="77777777">
            <w:pPr>
              <w:pStyle w:val="Bodytext2"/>
              <w:rPr>
                <w:color w:val="0F172B"/>
                <w:szCs w:val="15"/>
                <w:lang w:val="en-GB"/>
              </w:rPr>
            </w:pPr>
          </w:p>
          <w:p w:rsidR="002D612E" w:rsidRPr="00D56E97" w:rsidP="002D612E" w14:paraId="457BAB75" w14:textId="77777777">
            <w:pPr>
              <w:pStyle w:val="Heading13"/>
              <w:rPr>
                <w:lang w:val="en-GB"/>
              </w:rPr>
            </w:pPr>
            <w:r w:rsidRPr="00D56E97">
              <w:rPr>
                <w:lang w:val="en-GB"/>
              </w:rPr>
              <w:t>Impairment of goodwill</w:t>
            </w:r>
          </w:p>
          <w:p w:rsidR="002D612E" w:rsidRPr="00D56E97" w:rsidP="002D612E" w14:paraId="346D81A5" w14:textId="2FD99CCB">
            <w:pPr>
              <w:pStyle w:val="Bodytext2"/>
              <w:rPr>
                <w:color w:val="0F172B"/>
                <w:szCs w:val="15"/>
                <w:lang w:val="en-GB"/>
              </w:rPr>
            </w:pPr>
            <w:r w:rsidRPr="00D56E97">
              <w:rPr>
                <w:color w:val="0F172B"/>
                <w:szCs w:val="15"/>
                <w:lang w:val="en-GB"/>
              </w:rPr>
              <w:t>The carrying amount of goodwill allocate</w:t>
            </w:r>
            <w:r w:rsidRPr="00D56E97">
              <w:rPr>
                <w:color w:val="0F172B"/>
                <w:szCs w:val="15"/>
                <w:lang w:val="en-GB"/>
              </w:rPr>
              <w:t>d to cash generating units</w:t>
            </w:r>
            <w:r>
              <w:rPr>
                <w:color w:val="0F172B"/>
                <w:szCs w:val="15"/>
                <w:lang w:val="en-GB"/>
              </w:rPr>
              <w:t xml:space="preserve"> (CGU)</w:t>
            </w:r>
            <w:r w:rsidRPr="00D56E97">
              <w:rPr>
                <w:color w:val="0F172B"/>
                <w:szCs w:val="15"/>
                <w:lang w:val="en-GB"/>
              </w:rPr>
              <w:t xml:space="preserve"> is reviewed annually for signs of possible impairment</w:t>
            </w:r>
            <w:r>
              <w:rPr>
                <w:color w:val="0F172B"/>
                <w:szCs w:val="15"/>
                <w:lang w:val="en-GB"/>
              </w:rPr>
              <w:t>,</w:t>
            </w:r>
            <w:r w:rsidRPr="00D56E97">
              <w:rPr>
                <w:color w:val="0F172B"/>
                <w:szCs w:val="15"/>
                <w:lang w:val="en-GB"/>
              </w:rPr>
              <w:t xml:space="preserve"> or more frequently should any indication of impairment arise. If any such indication exists, the recoverable amount of the goodwill is estimated. In order to define a p</w:t>
            </w:r>
            <w:r w:rsidRPr="00D56E97">
              <w:rPr>
                <w:color w:val="0F172B"/>
                <w:szCs w:val="15"/>
                <w:lang w:val="en-GB"/>
              </w:rPr>
              <w:t>ossible impairment, the Group’s assets are divided into the smallest possible cash generating units, which are mainly independent of other units</w:t>
            </w:r>
            <w:r>
              <w:rPr>
                <w:color w:val="0F172B"/>
                <w:szCs w:val="15"/>
                <w:lang w:val="en-GB"/>
              </w:rPr>
              <w:t>,</w:t>
            </w:r>
            <w:r w:rsidRPr="00D56E97">
              <w:rPr>
                <w:color w:val="0F172B"/>
                <w:szCs w:val="15"/>
                <w:lang w:val="en-GB"/>
              </w:rPr>
              <w:t xml:space="preserve"> and the cash flows of which are separately identifiable and to a large extent independent of the cash flows of</w:t>
            </w:r>
            <w:r w:rsidRPr="00D56E97">
              <w:rPr>
                <w:color w:val="0F172B"/>
                <w:szCs w:val="15"/>
                <w:lang w:val="en-GB"/>
              </w:rPr>
              <w:t xml:space="preserve"> other similar units.</w:t>
            </w:r>
          </w:p>
          <w:p w:rsidR="002D612E" w:rsidRPr="00D56E97" w:rsidP="002D612E" w14:paraId="68135E1F" w14:textId="77777777">
            <w:pPr>
              <w:pStyle w:val="Bodytext2"/>
              <w:rPr>
                <w:color w:val="0F172B"/>
                <w:szCs w:val="15"/>
                <w:lang w:val="en-GB"/>
              </w:rPr>
            </w:pPr>
          </w:p>
          <w:p w:rsidR="002D612E" w:rsidRPr="00D56E97" w:rsidP="002D612E" w14:paraId="4A0EBA88" w14:textId="5B3B4566">
            <w:pPr>
              <w:pStyle w:val="Bodytext2"/>
              <w:rPr>
                <w:color w:val="0F172B"/>
                <w:szCs w:val="15"/>
                <w:lang w:val="en-GB"/>
              </w:rPr>
            </w:pPr>
            <w:r w:rsidRPr="00D56E97">
              <w:rPr>
                <w:color w:val="0F172B"/>
                <w:szCs w:val="15"/>
                <w:lang w:val="en-GB"/>
              </w:rPr>
              <w:t>An impairment loss is reco</w:t>
            </w:r>
            <w:r>
              <w:rPr>
                <w:color w:val="0F172B"/>
                <w:szCs w:val="15"/>
                <w:lang w:val="en-GB"/>
              </w:rPr>
              <w:t>gnised</w:t>
            </w:r>
            <w:r w:rsidRPr="00D56E97">
              <w:rPr>
                <w:color w:val="0F172B"/>
                <w:szCs w:val="15"/>
                <w:lang w:val="en-GB"/>
              </w:rPr>
              <w:t xml:space="preserve"> when the carrying amount of an asset is greater than its recoverable amount. The recoverable amount is the higher of an asset’s fair value less costs to sell and its value in use. The value in use for</w:t>
            </w:r>
            <w:r w:rsidRPr="00D56E97">
              <w:rPr>
                <w:color w:val="0F172B"/>
                <w:szCs w:val="15"/>
                <w:lang w:val="en-GB"/>
              </w:rPr>
              <w:t xml:space="preserve"> goodwill is based on the expected discounted future net cash flows resulting from the asset or cash generating unit.</w:t>
            </w:r>
          </w:p>
          <w:p w:rsidR="002D612E" w:rsidRPr="00D56E97" w:rsidP="002D612E" w14:paraId="3216C322" w14:textId="77777777">
            <w:pPr>
              <w:pStyle w:val="Bodytext2"/>
              <w:rPr>
                <w:color w:val="0F172B"/>
                <w:szCs w:val="15"/>
                <w:lang w:val="en-GB"/>
              </w:rPr>
            </w:pPr>
          </w:p>
          <w:p w:rsidR="002D612E" w:rsidRPr="00D56E97" w:rsidP="002D612E" w14:paraId="2E48AD05" w14:textId="7CCC6ED2">
            <w:pPr>
              <w:pStyle w:val="Bodytext2"/>
              <w:rPr>
                <w:color w:val="0F172B"/>
                <w:szCs w:val="15"/>
                <w:lang w:val="en-GB"/>
              </w:rPr>
            </w:pPr>
            <w:r w:rsidRPr="00D56E97">
              <w:rPr>
                <w:color w:val="0F172B"/>
                <w:szCs w:val="15"/>
                <w:lang w:val="en-GB"/>
              </w:rPr>
              <w:t>A pre-tax rate</w:t>
            </w:r>
            <w:r>
              <w:rPr>
                <w:color w:val="0F172B"/>
                <w:szCs w:val="15"/>
                <w:lang w:val="en-GB"/>
              </w:rPr>
              <w:t>,</w:t>
            </w:r>
            <w:r w:rsidRPr="00D56E97">
              <w:rPr>
                <w:color w:val="0F172B"/>
                <w:szCs w:val="15"/>
                <w:lang w:val="en-GB"/>
              </w:rPr>
              <w:t xml:space="preserve"> which reflects the markets’ position on the time value of money and asset-specific risks</w:t>
            </w:r>
            <w:r>
              <w:rPr>
                <w:color w:val="0F172B"/>
                <w:szCs w:val="15"/>
                <w:lang w:val="en-GB"/>
              </w:rPr>
              <w:t>,</w:t>
            </w:r>
            <w:r w:rsidRPr="00D56E97">
              <w:rPr>
                <w:color w:val="0F172B"/>
                <w:szCs w:val="15"/>
                <w:lang w:val="en-GB"/>
              </w:rPr>
              <w:t xml:space="preserve"> is used as the discount rate.</w:t>
            </w:r>
          </w:p>
          <w:p w:rsidR="002D612E" w:rsidRPr="00D56E97" w:rsidP="002D612E" w14:paraId="35225F1A" w14:textId="77777777">
            <w:pPr>
              <w:pStyle w:val="Bodytext2"/>
              <w:rPr>
                <w:color w:val="0F172B"/>
                <w:szCs w:val="15"/>
                <w:lang w:val="en-GB"/>
              </w:rPr>
            </w:pPr>
          </w:p>
          <w:p w:rsidR="002D612E" w:rsidRPr="00D56E97" w:rsidP="002D612E" w14:paraId="02A72A76" w14:textId="4D34C1FC">
            <w:pPr>
              <w:pStyle w:val="Bodytext2"/>
              <w:rPr>
                <w:color w:val="0F172B"/>
                <w:szCs w:val="15"/>
                <w:lang w:val="en-GB"/>
              </w:rPr>
            </w:pPr>
            <w:r w:rsidRPr="00D56E97">
              <w:rPr>
                <w:color w:val="0F172B"/>
                <w:szCs w:val="15"/>
                <w:lang w:val="en-GB"/>
              </w:rPr>
              <w:t xml:space="preserve">An impairment loss is recognised immediately </w:t>
            </w:r>
            <w:r>
              <w:rPr>
                <w:color w:val="0F172B"/>
                <w:szCs w:val="15"/>
                <w:lang w:val="en-GB"/>
              </w:rPr>
              <w:t>as depreciation, amortisation and impairment</w:t>
            </w:r>
            <w:r w:rsidRPr="00D56E97">
              <w:rPr>
                <w:color w:val="0F172B"/>
                <w:szCs w:val="15"/>
                <w:lang w:val="en-GB"/>
              </w:rPr>
              <w:t xml:space="preserve"> in the statement of income. An impairment loss recognised for goodwill is not reversed under any circumstances.</w:t>
            </w:r>
          </w:p>
          <w:p w:rsidR="002D612E" w:rsidRPr="00D56E97" w:rsidP="002D612E" w14:paraId="6214A551" w14:textId="77777777">
            <w:pPr>
              <w:pStyle w:val="Bodytext2"/>
              <w:rPr>
                <w:color w:val="0F172B"/>
                <w:szCs w:val="15"/>
                <w:lang w:val="en-GB"/>
              </w:rPr>
            </w:pPr>
          </w:p>
          <w:p w:rsidR="002D612E" w:rsidRPr="00D56E97" w:rsidP="002D612E" w14:paraId="4D16F3F6" w14:textId="0DE6FF82">
            <w:pPr>
              <w:pStyle w:val="Heading13"/>
              <w:rPr>
                <w:lang w:val="en-GB"/>
              </w:rPr>
            </w:pPr>
            <w:r w:rsidRPr="00DA38BD">
              <w:rPr>
                <w:lang w:val="en-GB"/>
              </w:rPr>
              <w:t>Accounting estimates and judgement</w:t>
            </w:r>
            <w:r>
              <w:rPr>
                <w:lang w:val="en-GB"/>
              </w:rPr>
              <w:t>s</w:t>
            </w:r>
          </w:p>
          <w:p w:rsidR="002D612E" w:rsidP="002D612E" w14:paraId="1AFC40D4" w14:textId="77777777">
            <w:pPr>
              <w:pStyle w:val="Bodytext2"/>
              <w:rPr>
                <w:color w:val="0F172B"/>
                <w:szCs w:val="15"/>
                <w:lang w:val="en-GB"/>
              </w:rPr>
            </w:pPr>
            <w:r>
              <w:rPr>
                <w:color w:val="0F172B"/>
                <w:szCs w:val="15"/>
                <w:lang w:val="en-GB"/>
              </w:rPr>
              <w:t>T</w:t>
            </w:r>
            <w:r w:rsidRPr="00850626">
              <w:rPr>
                <w:color w:val="0F172B"/>
                <w:szCs w:val="15"/>
                <w:lang w:val="en-GB"/>
              </w:rPr>
              <w:t>he recoverable a</w:t>
            </w:r>
            <w:r w:rsidRPr="00850626">
              <w:rPr>
                <w:color w:val="0F172B"/>
                <w:szCs w:val="15"/>
                <w:lang w:val="en-GB"/>
              </w:rPr>
              <w:t>mounts of goodwill are determined for all cash generating units annually, or more often if there is an indication of an impairment, where its value in use is determined. The value in use is determined using estimates of future market development, such as g</w:t>
            </w:r>
            <w:r w:rsidRPr="00850626">
              <w:rPr>
                <w:color w:val="0F172B"/>
                <w:szCs w:val="15"/>
                <w:lang w:val="en-GB"/>
              </w:rPr>
              <w:t xml:space="preserve">rowth and profitability, as well as other significant factors. The most important factors underlying such estimates are the net sales growth in the market area, the operating margin, the useful life of the assets, future investment needs, and the discount </w:t>
            </w:r>
            <w:r w:rsidRPr="00850626">
              <w:rPr>
                <w:color w:val="0F172B"/>
                <w:szCs w:val="15"/>
                <w:lang w:val="en-GB"/>
              </w:rPr>
              <w:t>rate. Changes in these assumptions can significantly affect the expected future cash flows.</w:t>
            </w:r>
          </w:p>
          <w:p w:rsidR="00E827CB" w:rsidP="002D612E" w14:paraId="3E90D504" w14:textId="77777777">
            <w:pPr>
              <w:pStyle w:val="Bodytext2"/>
              <w:rPr>
                <w:color w:val="0F172B"/>
                <w:szCs w:val="15"/>
                <w:lang w:val="en-GB"/>
              </w:rPr>
            </w:pPr>
          </w:p>
          <w:p w:rsidR="00E827CB" w:rsidRPr="00D56E97" w:rsidP="002D612E" w14:paraId="049A058E" w14:textId="0784B8D1">
            <w:pPr>
              <w:pStyle w:val="Bodytext2"/>
              <w:rPr>
                <w:color w:val="0F172B"/>
                <w:szCs w:val="15"/>
                <w:lang w:val="en-GB"/>
              </w:rPr>
            </w:pPr>
            <w:r w:rsidRPr="00E827CB">
              <w:rPr>
                <w:color w:val="0F172B"/>
                <w:szCs w:val="15"/>
                <w:lang w:val="en-GB"/>
              </w:rPr>
              <w:t>Significant judgement has been used when Wärtsilä management has evaluated indications of impairment. The recoverable amounts of the operating segments have been e</w:t>
            </w:r>
            <w:r w:rsidRPr="00E827CB">
              <w:rPr>
                <w:color w:val="0F172B"/>
                <w:szCs w:val="15"/>
                <w:lang w:val="en-GB"/>
              </w:rPr>
              <w:t>valuated against the carrying values. The full financial impact of the coronavirus (C</w:t>
            </w:r>
            <w:r>
              <w:rPr>
                <w:color w:val="0F172B"/>
                <w:szCs w:val="15"/>
                <w:lang w:val="en-GB"/>
              </w:rPr>
              <w:t>OVID</w:t>
            </w:r>
            <w:r w:rsidRPr="00E827CB">
              <w:rPr>
                <w:color w:val="0F172B"/>
                <w:szCs w:val="15"/>
                <w:lang w:val="en-GB"/>
              </w:rPr>
              <w:t xml:space="preserve">-19) outbreak cannot be quantified at this time, as it will depend on the duration and severity of the virus in different geographies, which largely depends on the </w:t>
            </w:r>
            <w:r w:rsidRPr="00E827CB">
              <w:rPr>
                <w:color w:val="0F172B"/>
                <w:szCs w:val="15"/>
                <w:lang w:val="en-GB"/>
              </w:rPr>
              <w:t>measures taken to contain the virus, which in turn will determine the pace of recovery in th</w:t>
            </w:r>
            <w:r w:rsidRPr="00E827CB">
              <w:rPr>
                <w:color w:val="0F172B"/>
                <w:szCs w:val="15"/>
                <w:lang w:val="en-GB"/>
              </w:rPr>
              <w:t>ese geographies. Therefore, estimates for market development, growth</w:t>
            </w:r>
            <w:r>
              <w:rPr>
                <w:color w:val="0F172B"/>
                <w:szCs w:val="15"/>
                <w:lang w:val="en-GB"/>
              </w:rPr>
              <w:t>,</w:t>
            </w:r>
            <w:r w:rsidRPr="00E827CB">
              <w:rPr>
                <w:color w:val="0F172B"/>
                <w:szCs w:val="15"/>
                <w:lang w:val="en-GB"/>
              </w:rPr>
              <w:t xml:space="preserve"> and other significant factors is challenging in the current situation. The assumptions used in the evaluation of goodwill recoverability are based on management’s best estimates under th</w:t>
            </w:r>
            <w:r w:rsidRPr="00E827CB">
              <w:rPr>
                <w:color w:val="0F172B"/>
                <w:szCs w:val="15"/>
                <w:lang w:val="en-GB"/>
              </w:rPr>
              <w:t>e current circumstances.</w:t>
            </w:r>
          </w:p>
        </w:tc>
      </w:tr>
    </w:tbl>
    <w:p w:rsidR="002D612E" w:rsidP="002D612E" w14:paraId="0CE9CEC7" w14:textId="77777777">
      <w:pPr>
        <w:pStyle w:val="Bodytext2"/>
        <w:rPr>
          <w:color w:val="0F172B"/>
          <w:szCs w:val="15"/>
          <w:lang w:eastAsia="fi-FI"/>
        </w:rPr>
      </w:pPr>
    </w:p>
    <w:p w:rsidR="002D612E" w:rsidRPr="0054408B" w:rsidP="002D612E" w14:paraId="00AE4E83" w14:textId="77777777">
      <w:pPr>
        <w:pStyle w:val="Heading13"/>
      </w:pPr>
      <w:r w:rsidRPr="0054408B">
        <w:t>Goodwill 2020</w:t>
      </w:r>
    </w:p>
    <w:p w:rsidR="002D612E" w:rsidRPr="0054408B" w:rsidP="002D612E" w14:paraId="3A069D21" w14:textId="77777777">
      <w:pPr>
        <w:pStyle w:val="Bodytext2"/>
        <w:rPr>
          <w:color w:val="0F172B"/>
          <w:szCs w:val="15"/>
        </w:rPr>
      </w:pPr>
    </w:p>
    <w:tbl>
      <w:tblPr>
        <w:tblStyle w:val="TableNormal"/>
        <w:tblCaption w:val="table_goodwill_current"/>
        <w:tblW w:w="7350" w:type="dxa"/>
        <w:tblLayout w:type="fixed"/>
        <w:tblLook w:val="0600"/>
      </w:tblPr>
      <w:tblGrid>
        <w:gridCol w:w="4860"/>
        <w:gridCol w:w="1245"/>
        <w:gridCol w:w="1245"/>
      </w:tblGrid>
      <w:tr>
        <w:tblPrEx>
          <w:tblW w:w="7350" w:type="dxa"/>
          <w:tblLayout w:type="fixed"/>
          <w:tblLook w:val="0600"/>
        </w:tblPrEx>
        <w:trPr>
          <w:trHeight w:hRule="exact" w:val="240"/>
        </w:trPr>
        <w:tc>
          <w:tcPr>
            <w:tcW w:w="6105" w:type="dxa"/>
            <w:gridSpan w:val="2"/>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Wärtsilä Group</w:t>
            </w: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10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on 1 January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1,380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10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Wärtsilä on 30 June</w:t>
            </w: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1,339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105" w:type="dxa"/>
            <w:gridSpan w:val="2"/>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Disposals and impairments</w:t>
            </w:r>
          </w:p>
        </w:tc>
        <w:tc>
          <w:tcPr>
            <w:tcW w:w="12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 to assets held for sale</w:t>
            </w:r>
          </w:p>
        </w:tc>
        <w:tc>
          <w:tcPr>
            <w:tcW w:w="12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10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Wärtsilä on 31 December</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1,325</w:t>
            </w:r>
          </w:p>
        </w:tc>
      </w:tr>
    </w:tbl>
    <w:p w:rsidR="00D0748B" w:rsidP="00712F8F" w14:paraId="5839A732" w14:textId="77777777">
      <w:pPr>
        <w:pStyle w:val="Bodytext2"/>
      </w:pPr>
      <w:bookmarkStart w:id="1163" w:name="_Hlk62060275"/>
    </w:p>
    <w:p w:rsidR="00712F8F" w:rsidRPr="00712F8F" w:rsidP="00712F8F" w14:paraId="01D76EA7" w14:textId="4DD25778">
      <w:pPr>
        <w:pStyle w:val="Bodytext2"/>
      </w:pPr>
      <w:r w:rsidRPr="00712F8F">
        <w:t xml:space="preserve">Disposals and impairments </w:t>
      </w:r>
      <w:r>
        <w:t>of</w:t>
      </w:r>
      <w:r w:rsidRPr="00712F8F">
        <w:t xml:space="preserve"> goodwill relate to divested businesses in Portfolio Business. These businesses were first classified as assets held for sale and later </w:t>
      </w:r>
      <w:r>
        <w:t>divested</w:t>
      </w:r>
      <w:r w:rsidRPr="00712F8F">
        <w:t xml:space="preserve">. The total impact of these divestments </w:t>
      </w:r>
      <w:r>
        <w:t>on</w:t>
      </w:r>
      <w:r w:rsidRPr="00712F8F">
        <w:t xml:space="preserve"> the profit for the financial period is presented in </w:t>
      </w:r>
      <w:r>
        <w:t>N</w:t>
      </w:r>
      <w:r w:rsidRPr="00712F8F">
        <w:t xml:space="preserve">ote 6.2. </w:t>
      </w:r>
      <w:r>
        <w:t>Disposa</w:t>
      </w:r>
      <w:r>
        <w:t xml:space="preserve">ls. </w:t>
      </w:r>
      <w:bookmarkEnd w:id="1163"/>
    </w:p>
    <w:p w:rsidR="00D001AD" w:rsidP="00D001AD" w14:paraId="161E0183" w14:textId="3AC33610">
      <w:pPr>
        <w:pStyle w:val="Bodytext2"/>
      </w:pPr>
    </w:p>
    <w:p w:rsidR="00712F8F" w:rsidP="00712F8F" w14:paraId="531F9F6E" w14:textId="034A1086">
      <w:pPr>
        <w:rPr>
          <w:rFonts w:ascii="Arial" w:hAnsi="Arial" w:eastAsiaTheme="minorHAnsi" w:cs="Arial"/>
          <w:color w:val="111111"/>
          <w:sz w:val="15"/>
          <w:szCs w:val="17"/>
          <w:lang w:val="en-US" w:eastAsia="en-US"/>
        </w:rPr>
      </w:pPr>
      <w:r w:rsidRPr="00712F8F">
        <w:rPr>
          <w:rFonts w:ascii="Arial" w:hAnsi="Arial" w:eastAsiaTheme="minorHAnsi" w:cs="Arial"/>
          <w:color w:val="111111"/>
          <w:sz w:val="15"/>
          <w:szCs w:val="17"/>
          <w:lang w:val="en-US" w:eastAsia="en-US"/>
        </w:rPr>
        <w:t xml:space="preserve">All businesses currently presented as assets held for sale belong to Portfolio Business. The total impact </w:t>
      </w:r>
      <w:r>
        <w:rPr>
          <w:rFonts w:ascii="Arial" w:hAnsi="Arial" w:eastAsiaTheme="minorHAnsi" w:cs="Arial"/>
          <w:color w:val="111111"/>
          <w:sz w:val="15"/>
          <w:szCs w:val="17"/>
          <w:lang w:val="en-US" w:eastAsia="en-US"/>
        </w:rPr>
        <w:t>on</w:t>
      </w:r>
      <w:r w:rsidRPr="00712F8F">
        <w:rPr>
          <w:rFonts w:ascii="Arial" w:hAnsi="Arial" w:eastAsiaTheme="minorHAnsi" w:cs="Arial"/>
          <w:color w:val="111111"/>
          <w:sz w:val="15"/>
          <w:szCs w:val="17"/>
          <w:lang w:val="en-US" w:eastAsia="en-US"/>
        </w:rPr>
        <w:t xml:space="preserve"> the profit for the financial period is presented in </w:t>
      </w:r>
      <w:r>
        <w:rPr>
          <w:rFonts w:ascii="Arial" w:hAnsi="Arial" w:eastAsiaTheme="minorHAnsi" w:cs="Arial"/>
          <w:color w:val="111111"/>
          <w:sz w:val="15"/>
          <w:szCs w:val="17"/>
          <w:lang w:val="en-US" w:eastAsia="en-US"/>
        </w:rPr>
        <w:t>N</w:t>
      </w:r>
      <w:r w:rsidRPr="00712F8F">
        <w:rPr>
          <w:rFonts w:ascii="Arial" w:hAnsi="Arial" w:eastAsiaTheme="minorHAnsi" w:cs="Arial"/>
          <w:color w:val="111111"/>
          <w:sz w:val="15"/>
          <w:szCs w:val="17"/>
          <w:lang w:val="en-US" w:eastAsia="en-US"/>
        </w:rPr>
        <w:t>ote 6.3. Assets held for sale.</w:t>
      </w:r>
    </w:p>
    <w:p w:rsidR="002D612E" w:rsidRPr="00F32CE0" w:rsidP="00F32CE0" w14:paraId="7006222A" w14:textId="27700882">
      <w:pPr>
        <w:pStyle w:val="Heading13"/>
        <w:rPr>
          <w:color w:val="0F172B"/>
          <w:szCs w:val="15"/>
          <w:highlight w:val="magenta"/>
        </w:rPr>
      </w:pPr>
      <w:r w:rsidRPr="0054408B">
        <w:t>Goodwill allocation</w:t>
      </w:r>
    </w:p>
    <w:p w:rsidR="004807E1" w:rsidRPr="00D001AD" w:rsidP="00D001AD" w14:paraId="7520C182" w14:textId="4B688BA4">
      <w:pPr>
        <w:pStyle w:val="Bodytext2"/>
      </w:pPr>
      <w:r w:rsidRPr="00D001AD">
        <w:t>Goodwill arising from business acquisitions has been allocated to the new operating segments and other business activities, which are also the Group’s CGUs in impairment testing of goodwill. From 1 July 2020 onwards, these are Marine Power, Marine Systems,</w:t>
      </w:r>
      <w:r w:rsidRPr="00D001AD">
        <w:t xml:space="preserve"> Voyage, Energy</w:t>
      </w:r>
      <w:r>
        <w:t>,</w:t>
      </w:r>
      <w:r w:rsidRPr="00D001AD">
        <w:t xml:space="preserve"> and Portfolio Business.</w:t>
      </w:r>
    </w:p>
    <w:p w:rsidR="002D612E" w:rsidRPr="0054408B" w:rsidP="002D612E" w14:paraId="2880CDCA" w14:textId="77777777">
      <w:pPr>
        <w:pStyle w:val="Bodytext2"/>
        <w:rPr>
          <w:color w:val="0F172B"/>
          <w:szCs w:val="15"/>
        </w:rPr>
      </w:pPr>
    </w:p>
    <w:p w:rsidR="004807E1" w:rsidRPr="00D001AD" w:rsidP="00D001AD" w14:paraId="6920070D" w14:textId="648D85AB">
      <w:pPr>
        <w:pStyle w:val="Bodytext2"/>
      </w:pPr>
      <w:r w:rsidRPr="00D001AD">
        <w:t>The reallocation has been performed using a relative value approach with minor exceptions.</w:t>
      </w:r>
    </w:p>
    <w:p w:rsidR="002D612E" w:rsidRPr="00DE7E66" w:rsidP="002D612E" w14:paraId="3718BCC9" w14:textId="60D0040E">
      <w:pPr>
        <w:pStyle w:val="Bodytext2"/>
        <w:rPr>
          <w:color w:val="0F172B"/>
          <w:sz w:val="2"/>
          <w:szCs w:val="2"/>
        </w:rPr>
      </w:pPr>
      <w:r>
        <w:rPr>
          <w:color w:val="0F172B"/>
          <w:szCs w:val="15"/>
        </w:rPr>
        <w:br w:type="column"/>
      </w:r>
    </w:p>
    <w:tbl>
      <w:tblPr>
        <w:tblStyle w:val="TableNormal"/>
        <w:tblCaption w:val="table_goodwill_cgu_current"/>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1.7.2020</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31.12.2020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535</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534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165</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98</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502</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1,339</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1,325</w:t>
            </w:r>
          </w:p>
        </w:tc>
      </w:tr>
    </w:tbl>
    <w:p w:rsidR="002D612E" w:rsidRPr="0054408B" w:rsidP="002D612E" w14:paraId="23A93F68" w14:textId="77777777">
      <w:pPr>
        <w:pStyle w:val="Bodytext2"/>
        <w:rPr>
          <w:color w:val="0F172B"/>
          <w:szCs w:val="15"/>
        </w:rPr>
      </w:pPr>
    </w:p>
    <w:p w:rsidR="002D612E" w:rsidRPr="0054408B" w:rsidP="002D612E" w14:paraId="45009BFD" w14:textId="77777777">
      <w:pPr>
        <w:pStyle w:val="Heading13"/>
      </w:pPr>
      <w:r w:rsidRPr="0054408B">
        <w:t>Intermediate impairment testing</w:t>
      </w:r>
    </w:p>
    <w:p w:rsidR="004807E1" w:rsidRPr="00D001AD" w:rsidP="00D001AD" w14:paraId="18A6A443" w14:textId="026AB3AF">
      <w:pPr>
        <w:pStyle w:val="Bodytext2"/>
      </w:pPr>
      <w:r w:rsidRPr="00D001AD">
        <w:t xml:space="preserve">Due to the COVID-19 outbreak and the new </w:t>
      </w:r>
      <w:r w:rsidRPr="00D001AD">
        <w:t>organisational</w:t>
      </w:r>
      <w:r w:rsidRPr="00D001AD">
        <w:t xml:space="preserve"> </w:t>
      </w:r>
      <w:r w:rsidRPr="00D001AD">
        <w:t xml:space="preserve">structure, Wärtsilä performed an intermediate impairment testing of goodwill during the second quarter of 2020. As a result of the impairment test, no impairment loss for the CGUs was </w:t>
      </w:r>
      <w:r w:rsidRPr="00D001AD">
        <w:t>recognised</w:t>
      </w:r>
      <w:r w:rsidRPr="00D001AD">
        <w:t xml:space="preserve"> for the reporting period ended 30 June 2020.</w:t>
      </w:r>
    </w:p>
    <w:p w:rsidR="002D612E" w:rsidRPr="0054408B" w:rsidP="002D612E" w14:paraId="47954287" w14:textId="77777777">
      <w:pPr>
        <w:pStyle w:val="Bodytext2"/>
        <w:rPr>
          <w:color w:val="0F172B"/>
          <w:szCs w:val="15"/>
        </w:rPr>
      </w:pPr>
    </w:p>
    <w:p w:rsidR="002D612E" w:rsidRPr="0054408B" w:rsidP="002D612E" w14:paraId="4426219D" w14:textId="77777777">
      <w:pPr>
        <w:pStyle w:val="Heading13"/>
      </w:pPr>
      <w:r w:rsidRPr="0054408B">
        <w:t>Annual impairme</w:t>
      </w:r>
      <w:r w:rsidRPr="0054408B">
        <w:t>nt testing of goodwill</w:t>
      </w:r>
    </w:p>
    <w:p w:rsidR="00040A88" w:rsidRPr="00D001AD" w:rsidP="00D001AD" w14:paraId="287FB8C3" w14:textId="6BDCA90C">
      <w:pPr>
        <w:pStyle w:val="Bodytext2"/>
      </w:pPr>
      <w:r w:rsidRPr="00D001AD">
        <w:t>The Group performed its annual impairment testing of goodwill during the third quarter of the year. Wärtsilä compared the recoverable amount of each business against its carrying amount to define whether there were any indications of</w:t>
      </w:r>
      <w:r w:rsidRPr="00D001AD">
        <w:t xml:space="preserve"> goodwill impairment.</w:t>
      </w:r>
    </w:p>
    <w:p w:rsidR="00040A88" w:rsidRPr="00D001AD" w:rsidP="00D001AD" w14:paraId="1A85FCC1" w14:textId="213E4AE9">
      <w:pPr>
        <w:pStyle w:val="Bodytext2"/>
      </w:pPr>
    </w:p>
    <w:p w:rsidR="00040A88" w:rsidRPr="00D001AD" w:rsidP="00D001AD" w14:paraId="6DCC9B77" w14:textId="71E4E242">
      <w:pPr>
        <w:pStyle w:val="Bodytext2"/>
      </w:pPr>
      <w:r w:rsidRPr="00D001AD">
        <w:t>For Marine Power, Marine Systems, Voyage, and Energy, the recoverable amounts were defined based on the discounted cash flow method, derived from the order book and four-year cash flow projections. The estimated cash flows of the CGU</w:t>
      </w:r>
      <w:r w:rsidRPr="00D001AD">
        <w:t xml:space="preserve">s were based on the </w:t>
      </w:r>
      <w:r w:rsidRPr="00D001AD">
        <w:t>utilisation</w:t>
      </w:r>
      <w:r w:rsidRPr="00D001AD">
        <w:t xml:space="preserve"> of existing property, plant, and equipment in their current condition with normal maintenance capital expenditure, excluding any potential future acquisitions. Cash flows beyond the four-year period were calculated using the</w:t>
      </w:r>
      <w:r w:rsidRPr="00D001AD">
        <w:t xml:space="preserve"> terminal value method.</w:t>
      </w:r>
    </w:p>
    <w:p w:rsidR="00040A88" w:rsidRPr="00D001AD" w:rsidP="00D001AD" w14:paraId="1A191708" w14:textId="4F9541C2">
      <w:pPr>
        <w:pStyle w:val="Bodytext2"/>
      </w:pPr>
    </w:p>
    <w:p w:rsidR="00040A88" w:rsidRPr="00D001AD" w:rsidP="00D001AD" w14:paraId="2C087DA1" w14:textId="39AB90ED">
      <w:pPr>
        <w:pStyle w:val="Bodytext2"/>
      </w:pPr>
      <w:r w:rsidRPr="00D001AD">
        <w:t>For the Portfolio Business units, which were classified as assets held for sale, the recoverable amounts were defined based on estimations of the selling price on cash-free, debt-free basis. For the other business units, the recove</w:t>
      </w:r>
      <w:r w:rsidRPr="00D001AD">
        <w:t>rable amounts were defined based on either the discounted cash flow method or estimations of the selling price on cash</w:t>
      </w:r>
      <w:r>
        <w:t>-</w:t>
      </w:r>
      <w:r w:rsidRPr="00D001AD">
        <w:t>free, debt-free basis, whichever was higher at the time.</w:t>
      </w:r>
    </w:p>
    <w:p w:rsidR="00040A88" w:rsidRPr="00BE13D9" w:rsidP="00BE13D9" w14:paraId="0DE67B75" w14:textId="5E1AF88A">
      <w:pPr>
        <w:pStyle w:val="Bodytext2"/>
      </w:pPr>
    </w:p>
    <w:p w:rsidR="00040A88" w:rsidRPr="00BE13D9" w:rsidP="00BE13D9" w14:paraId="4BBDB972" w14:textId="2F38AB49">
      <w:pPr>
        <w:pStyle w:val="Bodytext2"/>
      </w:pPr>
      <w:r w:rsidRPr="00BE13D9">
        <w:t xml:space="preserve">The terminal growth rate used in projections is based on </w:t>
      </w:r>
      <w:r w:rsidRPr="00BE13D9">
        <w:t>management’s assessment on conservative long-term growth. The terminal growth rate used in the calculation were:</w:t>
      </w:r>
    </w:p>
    <w:p w:rsidR="002D612E" w:rsidRPr="0054408B" w:rsidP="002D612E" w14:paraId="26147EFD" w14:textId="77777777">
      <w:pPr>
        <w:pStyle w:val="Bodytext2"/>
        <w:rPr>
          <w:color w:val="0F172B"/>
          <w:szCs w:val="15"/>
        </w:rPr>
      </w:pPr>
    </w:p>
    <w:tbl>
      <w:tblPr>
        <w:tblStyle w:val="TableNormal"/>
        <w:tblCaption w:val="table_terminal_growth_rate_cur"/>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Terminal growth rate, %</w:t>
            </w:r>
          </w:p>
        </w:tc>
        <w:tc>
          <w:tcPr>
            <w:tcW w:w="12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0.0</w:t>
            </w:r>
          </w:p>
        </w:tc>
      </w:tr>
    </w:tbl>
    <w:p w:rsidR="002D612E" w:rsidRPr="00F47EE8" w:rsidP="002D612E" w14:paraId="7B5868B4" w14:textId="41F44D7D">
      <w:pPr>
        <w:pStyle w:val="Bodytext2"/>
        <w:rPr>
          <w:color w:val="0F172B"/>
          <w:sz w:val="2"/>
          <w:szCs w:val="2"/>
        </w:rPr>
      </w:pPr>
      <w:r>
        <w:rPr>
          <w:color w:val="0F172B"/>
          <w:szCs w:val="15"/>
        </w:rPr>
        <w:br w:type="column"/>
      </w:r>
    </w:p>
    <w:p w:rsidR="00040A88" w:rsidRPr="00BE13D9" w:rsidP="00BE13D9" w14:paraId="4B183343" w14:textId="4C5101AC">
      <w:pPr>
        <w:pStyle w:val="Bodytext2"/>
        <w:rPr>
          <w:highlight w:val="yellow"/>
        </w:rPr>
      </w:pPr>
      <w:r w:rsidRPr="00BE13D9">
        <w:t>The key driver for the valuation is growth in the global economy, and in particular, the development of t</w:t>
      </w:r>
      <w:r w:rsidRPr="00BE13D9">
        <w:t>he global power market, the global shipbuilding industry, and the demand for any related services. The projected development of total costs in the market affects the profitability, whereas no single cost item is considered to have a material impact. The va</w:t>
      </w:r>
      <w:r w:rsidRPr="00BE13D9">
        <w:t xml:space="preserve">luation driver for new equipment sales is growth in the global economy, whereas for after sales the drivers are also the demand for related services and the projected development in </w:t>
      </w:r>
      <w:r w:rsidRPr="00BE13D9">
        <w:t>labour</w:t>
      </w:r>
      <w:r w:rsidRPr="00BE13D9">
        <w:t xml:space="preserve"> costs.</w:t>
      </w:r>
    </w:p>
    <w:p w:rsidR="002D612E" w:rsidRPr="00BE13D9" w:rsidP="00BE13D9" w14:paraId="4552A2CD" w14:textId="77777777">
      <w:pPr>
        <w:pStyle w:val="Bodytext2"/>
        <w:rPr>
          <w:highlight w:val="yellow"/>
        </w:rPr>
      </w:pPr>
    </w:p>
    <w:p w:rsidR="00040A88" w:rsidRPr="00BE13D9" w:rsidP="00BE13D9" w14:paraId="2D67AEB1" w14:textId="7385525F">
      <w:pPr>
        <w:pStyle w:val="Bodytext2"/>
      </w:pPr>
      <w:r w:rsidRPr="00BE13D9">
        <w:t>The applied discount rates are the weighted average pre-tax</w:t>
      </w:r>
      <w:r w:rsidRPr="00BE13D9">
        <w:t xml:space="preserve"> cost of capital (WACC) for each CGU as defined by Wärtsilä. The components of the WACC rates are risk-free rate, market risk premium, industry specific beta, cost of debt and debt equity ratio. Wärtsilä has used the following WACC rates for each CGU:</w:t>
      </w:r>
    </w:p>
    <w:p w:rsidR="002D612E" w:rsidRPr="0054408B" w:rsidP="002D612E" w14:paraId="3F1F8A38" w14:textId="77777777">
      <w:pPr>
        <w:pStyle w:val="Bodytext2"/>
        <w:rPr>
          <w:color w:val="0F172B"/>
          <w:szCs w:val="15"/>
        </w:rPr>
      </w:pPr>
    </w:p>
    <w:tbl>
      <w:tblPr>
        <w:tblStyle w:val="TableNormal"/>
        <w:tblCaption w:val="table_WACC_rate_cur"/>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WACC rate, %</w:t>
            </w:r>
          </w:p>
        </w:tc>
        <w:tc>
          <w:tcPr>
            <w:tcW w:w="12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Power</w:t>
            </w: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Marine Systems</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Voyage</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Energy</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25"/>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Portfolio Business</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w:t>
            </w:r>
          </w:p>
        </w:tc>
      </w:tr>
    </w:tbl>
    <w:p w:rsidR="00040A88" w:rsidRPr="00BE13D9" w:rsidP="00BE13D9" w14:paraId="72547FEB" w14:textId="2EBC5302">
      <w:pPr>
        <w:pStyle w:val="Bodytext2"/>
      </w:pPr>
    </w:p>
    <w:p w:rsidR="00040A88" w:rsidRPr="00BE13D9" w:rsidP="00BE13D9" w14:paraId="2676B5AF" w14:textId="67820A2C">
      <w:pPr>
        <w:pStyle w:val="Bodytext2"/>
      </w:pPr>
      <w:r w:rsidRPr="00BE13D9">
        <w:t xml:space="preserve">As a result of the impairment test, no impairment loss for the CGUs was </w:t>
      </w:r>
      <w:r w:rsidRPr="00BE13D9">
        <w:t>recognised</w:t>
      </w:r>
      <w:r w:rsidRPr="00BE13D9">
        <w:t xml:space="preserve"> for the financial period ended on 30 September 2020. The recoverable amounts of Marine Power, Marine Systems, and Energy CGUs exceeded their respectiv</w:t>
      </w:r>
      <w:r w:rsidRPr="00BE13D9">
        <w:t>e carrying values substantially.</w:t>
      </w:r>
    </w:p>
    <w:p w:rsidR="00040A88" w:rsidRPr="00BE13D9" w:rsidP="00BE13D9" w14:paraId="02CD3A44" w14:textId="1640F4FC">
      <w:pPr>
        <w:pStyle w:val="Bodytext2"/>
      </w:pPr>
    </w:p>
    <w:p w:rsidR="00040A88" w:rsidRPr="00BE13D9" w:rsidP="00BE13D9" w14:paraId="55031674" w14:textId="0856459D">
      <w:pPr>
        <w:pStyle w:val="Bodytext2"/>
      </w:pPr>
      <w:r w:rsidRPr="00BE13D9">
        <w:t>Also, the defined recoverable amount of Voyage CGU exceeded the carrying amount of the unit. The key assumption for Voyage CGU is that Voyage is estimated to break even within the next few years on the EBITDA level and tha</w:t>
      </w:r>
      <w:r w:rsidRPr="00BE13D9">
        <w:t>t its growth rate will exceed the Group average. Any future negative changes in these assumptions would have an adverse impact on the valuation of the business.</w:t>
      </w:r>
    </w:p>
    <w:p w:rsidR="00040A88" w:rsidRPr="00BE13D9" w:rsidP="00BE13D9" w14:paraId="70B94FDB" w14:textId="10397644">
      <w:pPr>
        <w:pStyle w:val="Bodytext2"/>
      </w:pPr>
    </w:p>
    <w:p w:rsidR="00712F8F" w:rsidP="00BE13D9" w14:paraId="12D41F10" w14:textId="00303475">
      <w:pPr>
        <w:pStyle w:val="Bodytext2"/>
      </w:pPr>
      <w:r>
        <w:t xml:space="preserve">According to the measuring requirements related to assets held for sale, </w:t>
      </w:r>
      <w:r w:rsidRPr="00BE13D9">
        <w:t xml:space="preserve">Wärtsilä has </w:t>
      </w:r>
      <w:r w:rsidRPr="00BE13D9">
        <w:t>written down</w:t>
      </w:r>
      <w:r>
        <w:t xml:space="preserve"> certain</w:t>
      </w:r>
      <w:r w:rsidRPr="00BE13D9">
        <w:t xml:space="preserve"> assets in Portfolio Business</w:t>
      </w:r>
      <w:r>
        <w:t xml:space="preserve"> in 2020</w:t>
      </w:r>
      <w:r w:rsidRPr="00BE13D9">
        <w:t>. Part of these write-downs related to goodwill. However, based on the testing conducted in the annual impairment test, there was no additional impairment noted for Portfolio Business.</w:t>
      </w:r>
    </w:p>
    <w:p w:rsidR="006E61BB" w:rsidP="00BE13D9" w14:paraId="04FEEBA8" w14:textId="42A338EA">
      <w:pPr>
        <w:pStyle w:val="Bodytext2"/>
      </w:pPr>
    </w:p>
    <w:p w:rsidR="006E61BB" w:rsidRPr="00BE13D9" w:rsidP="00BE13D9" w14:paraId="0ACB3B48" w14:textId="18D06787">
      <w:pPr>
        <w:pStyle w:val="Bodytext2"/>
      </w:pPr>
      <w:r w:rsidRPr="006E61BB">
        <w:t xml:space="preserve">There are no </w:t>
      </w:r>
      <w:r w:rsidRPr="006E61BB">
        <w:t>recent indications of impairment of goodwill after the annual impairment testing</w:t>
      </w:r>
      <w:r>
        <w:t>.</w:t>
      </w:r>
    </w:p>
    <w:p w:rsidR="0044340E" w:rsidRPr="00712F8F" w:rsidP="002D612E" w14:paraId="64AEDEF3" w14:textId="77777777">
      <w:pPr>
        <w:pStyle w:val="Bodytext2"/>
        <w:rPr>
          <w:color w:val="0F172B"/>
          <w:szCs w:val="15"/>
          <w:lang w:val="en-GB"/>
        </w:rPr>
      </w:pPr>
    </w:p>
    <w:p w:rsidR="002D612E" w:rsidRPr="0054408B" w:rsidP="002D612E" w14:paraId="33145388" w14:textId="77777777">
      <w:pPr>
        <w:pStyle w:val="Heading13"/>
      </w:pPr>
      <w:r w:rsidRPr="0054408B">
        <w:t>Sensitivity analysis</w:t>
      </w:r>
    </w:p>
    <w:p w:rsidR="00040A88" w:rsidP="002D612E" w14:paraId="7C8FC57F" w14:textId="7D287FF7">
      <w:pPr>
        <w:pStyle w:val="Bodytext2"/>
        <w:rPr>
          <w:color w:val="0F172B"/>
          <w:szCs w:val="15"/>
        </w:rPr>
      </w:pPr>
      <w:r w:rsidRPr="0054408B">
        <w:rPr>
          <w:color w:val="0F172B"/>
          <w:szCs w:val="15"/>
        </w:rPr>
        <w:t xml:space="preserve">The management has </w:t>
      </w:r>
      <w:r w:rsidRPr="00D001AD">
        <w:rPr>
          <w:color w:val="0F172B"/>
          <w:szCs w:val="15"/>
        </w:rPr>
        <w:t>assessed that</w:t>
      </w:r>
      <w:r w:rsidRPr="0054408B">
        <w:rPr>
          <w:color w:val="0F172B"/>
          <w:szCs w:val="15"/>
        </w:rPr>
        <w:t xml:space="preserve"> no reasonable possible changes in the key assumptions would cause </w:t>
      </w:r>
      <w:r>
        <w:rPr>
          <w:color w:val="0F172B"/>
          <w:szCs w:val="15"/>
        </w:rPr>
        <w:t xml:space="preserve">the </w:t>
      </w:r>
      <w:r w:rsidRPr="0054408B">
        <w:rPr>
          <w:color w:val="0F172B"/>
          <w:szCs w:val="15"/>
        </w:rPr>
        <w:t>carrying amount of any CGU to exceed its recovera</w:t>
      </w:r>
      <w:r w:rsidRPr="0054408B">
        <w:rPr>
          <w:color w:val="0F172B"/>
          <w:szCs w:val="15"/>
        </w:rPr>
        <w:t xml:space="preserve">ble amount. </w:t>
      </w:r>
      <w:r>
        <w:rPr>
          <w:color w:val="0F172B"/>
          <w:szCs w:val="15"/>
        </w:rPr>
        <w:t>A s</w:t>
      </w:r>
      <w:r w:rsidRPr="0054408B">
        <w:rPr>
          <w:color w:val="0F172B"/>
          <w:szCs w:val="15"/>
        </w:rPr>
        <w:t>ensitivity analysis has been carried out for the valuation of the recoverable amount for each CGU by changing the assumptions used in the calculation. A change in an assumption that would cause the recoverable amount to equal the carrying am</w:t>
      </w:r>
      <w:r w:rsidRPr="0054408B">
        <w:rPr>
          <w:color w:val="0F172B"/>
          <w:szCs w:val="15"/>
        </w:rPr>
        <w:t>ount is presented in the table below separately for each CGU</w:t>
      </w:r>
      <w:r w:rsidRPr="00E827CB">
        <w:rPr>
          <w:color w:val="0F172B"/>
          <w:szCs w:val="15"/>
        </w:rPr>
        <w:t>.</w:t>
      </w:r>
    </w:p>
    <w:p w:rsidR="00441283" w:rsidRPr="006E61BB" w:rsidP="002D612E" w14:paraId="15C21A93" w14:textId="77777777">
      <w:pPr>
        <w:pStyle w:val="Bodytext2"/>
        <w:rPr>
          <w:color w:val="0F172B"/>
          <w:szCs w:val="15"/>
        </w:rPr>
      </w:pPr>
    </w:p>
    <w:tbl>
      <w:tblPr>
        <w:tblStyle w:val="TableNormal"/>
        <w:tblCaption w:val="table_sensitivity_analysis_cur"/>
        <w:tblW w:w="7365" w:type="dxa"/>
        <w:tblLayout w:type="fixed"/>
        <w:tblLook w:val="0600"/>
      </w:tblPr>
      <w:tblGrid>
        <w:gridCol w:w="2265"/>
        <w:gridCol w:w="5100"/>
      </w:tblGrid>
      <w:tr>
        <w:tblPrEx>
          <w:tblW w:w="7365" w:type="dxa"/>
          <w:tblLayout w:type="fixed"/>
          <w:tblLook w:val="0600"/>
        </w:tblPrEx>
        <w:trPr>
          <w:trHeight w:val="240"/>
        </w:trPr>
        <w:tc>
          <w:tcPr>
            <w:tcW w:w="226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510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Change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Marine Power</w:t>
            </w:r>
          </w:p>
        </w:tc>
        <w:tc>
          <w:tcPr>
            <w:tcW w:w="510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Pre-tax discount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more than 8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Terminal growth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8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Profitability</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51 percentage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51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Marine Systems</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Pre-tax discount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more than 25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Terminal growth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34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Profitability</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72 percentage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51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Voyage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Pre-tax discount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more than 4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Terminal growth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3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Profitability</w:t>
            </w:r>
          </w:p>
        </w:tc>
        <w:tc>
          <w:tcPr>
            <w:tcW w:w="510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37 percentage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51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Energy</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Pre-tax discount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more than 12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Terminal growth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13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Profitability</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61 percentage</w:t>
            </w:r>
          </w:p>
        </w:tc>
      </w:tr>
    </w:tbl>
    <w:p w:rsidR="002D612E" w:rsidRPr="00472E43" w:rsidP="00472E43" w14:paraId="45AFBD98" w14:textId="77777777">
      <w:pPr>
        <w:pStyle w:val="Bodytext2"/>
      </w:pPr>
    </w:p>
    <w:p w:rsidR="002D612E" w:rsidRPr="00472E43" w:rsidP="00472E43" w14:paraId="3BEBF648" w14:textId="7B723465">
      <w:pPr>
        <w:pStyle w:val="Bodytext2"/>
      </w:pPr>
      <w:r w:rsidRPr="00472E43">
        <w:t>For Portfolio Business, the recoverable amount of the CGU was mainly defined based on estimations of the selling price on a cash-free debt-free basis for ea</w:t>
      </w:r>
      <w:r w:rsidRPr="00472E43">
        <w:t>ch individual business unit. Thus, the change in the pre-tax discount rate and in the terminal growth rate only has minimal impact on the valuation of the CGU. The recoverable amount of the CGU would need to decrease by 9 percentage to equal the carrying a</w:t>
      </w:r>
      <w:r w:rsidRPr="00472E43">
        <w:t>mount of the CGU.</w:t>
      </w:r>
    </w:p>
    <w:p w:rsidR="0054408B" w:rsidRPr="00472E43" w:rsidP="00472E43" w14:paraId="2DA501BC" w14:textId="77777777">
      <w:pPr>
        <w:pStyle w:val="Bodytext2"/>
        <w:rPr>
          <w:highlight w:val="yellow"/>
        </w:rPr>
      </w:pPr>
    </w:p>
    <w:p w:rsidR="002D612E" w:rsidRPr="00180B96" w:rsidP="00472E43" w14:paraId="400E5A1D" w14:textId="5F547FB9">
      <w:pPr>
        <w:pStyle w:val="Bodytext2"/>
        <w:rPr>
          <w:sz w:val="2"/>
          <w:szCs w:val="2"/>
        </w:rPr>
      </w:pPr>
      <w:r w:rsidRPr="00472E43">
        <w:t xml:space="preserve">In management’s opinion, the changes in the basic assumptions shall not be seen as an indication that these factors are likely to </w:t>
      </w:r>
      <w:r w:rsidRPr="00472E43">
        <w:t>materialise</w:t>
      </w:r>
      <w:r w:rsidRPr="00472E43">
        <w:t>. The sensitivity analyses are hypothetical and should therefore be treated with caution</w:t>
      </w:r>
      <w:r w:rsidRPr="00472E43">
        <w:t>.</w:t>
      </w:r>
      <w:r>
        <w:br w:type="column"/>
      </w:r>
    </w:p>
    <w:p w:rsidR="002D612E" w:rsidP="002D612E" w14:paraId="01A3E188" w14:textId="3046943F">
      <w:pPr>
        <w:pStyle w:val="Heading13"/>
      </w:pPr>
      <w:r>
        <w:t>Goodw</w:t>
      </w:r>
      <w:r>
        <w:t>ill 2019</w:t>
      </w:r>
    </w:p>
    <w:p w:rsidR="002D612E" w:rsidP="002D612E" w14:paraId="070FCD77" w14:textId="77777777">
      <w:pPr>
        <w:pStyle w:val="Bodytext2"/>
        <w:rPr>
          <w:color w:val="0F172B"/>
          <w:szCs w:val="15"/>
        </w:rPr>
      </w:pPr>
    </w:p>
    <w:tbl>
      <w:tblPr>
        <w:tblStyle w:val="TableNormal"/>
        <w:tblCaption w:val="table_goodwill_previous"/>
        <w:tblW w:w="7350" w:type="dxa"/>
        <w:tblLayout w:type="fixed"/>
        <w:tblLook w:val="0600"/>
      </w:tblPr>
      <w:tblGrid>
        <w:gridCol w:w="4860"/>
        <w:gridCol w:w="1245"/>
        <w:gridCol w:w="1245"/>
      </w:tblGrid>
      <w:tr>
        <w:tblPrEx>
          <w:tblW w:w="7350" w:type="dxa"/>
          <w:tblLayout w:type="fixed"/>
          <w:tblLook w:val="0600"/>
        </w:tblPrEx>
        <w:trPr>
          <w:trHeight w:hRule="exact" w:val="240"/>
        </w:trPr>
        <w:tc>
          <w:tcPr>
            <w:tcW w:w="6105" w:type="dxa"/>
            <w:gridSpan w:val="2"/>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Wärtsilä Group</w:t>
            </w:r>
          </w:p>
        </w:tc>
        <w:tc>
          <w:tcPr>
            <w:tcW w:w="124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61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on 1 January</w:t>
            </w:r>
          </w:p>
        </w:tc>
        <w:tc>
          <w:tcPr>
            <w:tcW w:w="124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1,355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61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Acquisitions</w:t>
            </w:r>
          </w:p>
        </w:tc>
        <w:tc>
          <w:tcPr>
            <w:tcW w:w="124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610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124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6105" w:type="dxa"/>
            <w:gridSpan w:val="2"/>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1,380</w:t>
            </w:r>
          </w:p>
        </w:tc>
      </w:tr>
    </w:tbl>
    <w:p w:rsidR="002D612E" w:rsidP="002D612E" w14:paraId="2697D546" w14:textId="77777777">
      <w:pPr>
        <w:pStyle w:val="Bodytext2"/>
        <w:rPr>
          <w:color w:val="0F172B"/>
          <w:szCs w:val="15"/>
        </w:rPr>
      </w:pPr>
    </w:p>
    <w:p w:rsidR="002D612E" w:rsidP="002D612E" w14:paraId="29DDA533" w14:textId="77777777">
      <w:pPr>
        <w:pStyle w:val="Heading13"/>
      </w:pPr>
      <w:r>
        <w:t>Goodwill allocation</w:t>
      </w:r>
    </w:p>
    <w:p w:rsidR="002D612E" w:rsidRPr="00472E43" w:rsidP="00472E43" w14:paraId="371771A7" w14:textId="3D27F694">
      <w:pPr>
        <w:pStyle w:val="Bodytext2"/>
      </w:pPr>
      <w:r w:rsidRPr="00472E43">
        <w:t xml:space="preserve">Goodwill arising from business acquisitions is allocated to the Group cash generating units (CGU) that are the Group´s operating segments Wärtsilä Marine Business and Wärtsilä Energy </w:t>
      </w:r>
      <w:r w:rsidRPr="00472E43">
        <w:t>Business. As of 1 January 2019, the goodwill formerly allocated to the Group CGU has been allocated to the respective CGUs based on the fair value of the operating segments. The operating segments represent the lowest level within the Group at which the go</w:t>
      </w:r>
      <w:r w:rsidRPr="00472E43">
        <w:t>odwill is monitored. The companies acquired during the financial period are integrated within the respective CGU at the acquisition date. The goodwill per CGU is presented in the table below.</w:t>
      </w:r>
    </w:p>
    <w:p w:rsidR="002D612E" w:rsidRPr="00472E43" w:rsidP="00472E43" w14:paraId="196FE6E1" w14:textId="77777777">
      <w:pPr>
        <w:pStyle w:val="Bodytext2"/>
      </w:pPr>
    </w:p>
    <w:p w:rsidR="002D612E" w:rsidP="002D612E" w14:paraId="74F90161" w14:textId="77777777">
      <w:pPr>
        <w:pStyle w:val="Heading13"/>
      </w:pPr>
      <w:r>
        <w:t>Goodwill per cash generating unit</w:t>
      </w:r>
    </w:p>
    <w:p w:rsidR="002D612E" w:rsidP="002D612E" w14:paraId="0FB6D68F" w14:textId="77777777">
      <w:pPr>
        <w:pStyle w:val="Bodytext2"/>
        <w:rPr>
          <w:color w:val="0F172B"/>
          <w:szCs w:val="15"/>
        </w:rPr>
      </w:pPr>
    </w:p>
    <w:tbl>
      <w:tblPr>
        <w:tblStyle w:val="TableNormal"/>
        <w:tblCaption w:val="table_goodwill_cgu_previous"/>
        <w:tblW w:w="7350" w:type="dxa"/>
        <w:tblLayout w:type="fixed"/>
        <w:tblLook w:val="0600"/>
      </w:tblPr>
      <w:tblGrid>
        <w:gridCol w:w="4860"/>
        <w:gridCol w:w="1245"/>
        <w:gridCol w:w="1245"/>
      </w:tblGrid>
      <w:tr>
        <w:tblPrEx>
          <w:tblW w:w="7350" w:type="dxa"/>
          <w:tblLayout w:type="fixed"/>
          <w:tblLook w:val="0600"/>
        </w:tblPrEx>
        <w:trPr>
          <w:trHeight w:hRule="exact" w:val="240"/>
        </w:trPr>
        <w:tc>
          <w:tcPr>
            <w:tcW w:w="6105" w:type="dxa"/>
            <w:gridSpan w:val="2"/>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105" w:type="dxa"/>
            <w:gridSpan w:val="2"/>
            <w:tcBorders>
              <w:top w:val="single" w:sz="8" w:space="0" w:color="0F172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Marine Business</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847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610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Energy Business</w:t>
            </w:r>
          </w:p>
        </w:tc>
        <w:tc>
          <w:tcPr>
            <w:tcW w:w="124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533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1,380</w:t>
            </w:r>
          </w:p>
        </w:tc>
      </w:tr>
    </w:tbl>
    <w:p w:rsidR="002D612E" w:rsidP="002D612E" w14:paraId="059317A7" w14:textId="77777777">
      <w:pPr>
        <w:pStyle w:val="Bodytext2"/>
        <w:rPr>
          <w:color w:val="0F172B"/>
          <w:szCs w:val="15"/>
        </w:rPr>
      </w:pPr>
    </w:p>
    <w:p w:rsidR="002D612E" w:rsidP="002D612E" w14:paraId="76FF02DC" w14:textId="77777777">
      <w:pPr>
        <w:pStyle w:val="Heading13"/>
      </w:pPr>
      <w:r>
        <w:t>Impairment testing of goodwill</w:t>
      </w:r>
    </w:p>
    <w:p w:rsidR="002D612E" w:rsidRPr="00472E43" w:rsidP="00472E43" w14:paraId="301D9DAC" w14:textId="77777777">
      <w:pPr>
        <w:pStyle w:val="Bodytext2"/>
      </w:pPr>
      <w:r w:rsidRPr="00472E43">
        <w:t>The Group performs its annual impairment testing of goodwill on 30 September. Impairment of goodwill is also carried out when changes in circumstances indicate that the carrying amount may not be recoverable.</w:t>
      </w:r>
    </w:p>
    <w:p w:rsidR="002D612E" w:rsidRPr="00472E43" w:rsidP="00472E43" w14:paraId="7B368AC0" w14:textId="77777777">
      <w:pPr>
        <w:pStyle w:val="Bodytext2"/>
      </w:pPr>
    </w:p>
    <w:p w:rsidR="002D612E" w:rsidRPr="00472E43" w:rsidP="00472E43" w14:paraId="7675DB96" w14:textId="77777777">
      <w:pPr>
        <w:pStyle w:val="Bodytext2"/>
      </w:pPr>
      <w:r w:rsidRPr="00472E43">
        <w:t>The recov</w:t>
      </w:r>
      <w:r w:rsidRPr="00472E43">
        <w:t>erable amounts from the CGUs are determined based on value-in-use calculations. The calculations are made on a discounted cash flow method basis, derived from the order book and five-year cash flow projections from strategic plans approved by management. T</w:t>
      </w:r>
      <w:r w:rsidRPr="00472E43">
        <w:t xml:space="preserve">he estimated cash flows of the CGUs are based on </w:t>
      </w:r>
      <w:r w:rsidRPr="00472E43">
        <w:t>utilisation</w:t>
      </w:r>
      <w:r w:rsidRPr="00472E43">
        <w:t xml:space="preserve"> of the existing property, plant and equipment in their current condition with normal maintenance capital expenditure, excluding any potential future acquisitions. Cash flows beyond the five-year </w:t>
      </w:r>
      <w:r w:rsidRPr="00472E43">
        <w:t>period are calculated using the terminal value method. The terminal growth rate used in projections is based on management’s assessment on conservative long-term growth. The terminal growth rate used is 2%.</w:t>
      </w:r>
    </w:p>
    <w:p w:rsidR="002D612E" w:rsidRPr="00472E43" w:rsidP="00472E43" w14:paraId="227602CE" w14:textId="77777777">
      <w:pPr>
        <w:pStyle w:val="Bodytext2"/>
      </w:pPr>
    </w:p>
    <w:p w:rsidR="002D612E" w:rsidRPr="00472E43" w:rsidP="00472E43" w14:paraId="24564F50" w14:textId="71475818">
      <w:pPr>
        <w:pStyle w:val="Bodytext2"/>
      </w:pPr>
      <w:r w:rsidRPr="00472E43">
        <w:t>The key driver for the valuation is growth in th</w:t>
      </w:r>
      <w:r w:rsidRPr="00472E43">
        <w:t>e global economy and, in particular, the development of the global power market, the global shipbuilding industry, and the demand for related services. The projected development of total costs in the market affects the profitability, whereas no single cost</w:t>
      </w:r>
      <w:r w:rsidRPr="00472E43">
        <w:t xml:space="preserve"> item is considered to have a material impact. The valuation driver for the new equipment sales is growth in the global economy, whereas for after sales the drivers are also the demand for related services and the projected development in </w:t>
      </w:r>
      <w:r w:rsidRPr="00472E43">
        <w:t>labour</w:t>
      </w:r>
      <w:r w:rsidRPr="00472E43">
        <w:t xml:space="preserve"> costs.</w:t>
      </w:r>
    </w:p>
    <w:p w:rsidR="002D612E" w:rsidRPr="00472E43" w:rsidP="00472E43" w14:paraId="1E2D6590" w14:textId="77777777">
      <w:pPr>
        <w:pStyle w:val="Bodytext2"/>
      </w:pPr>
    </w:p>
    <w:p w:rsidR="002D612E" w:rsidRPr="00472E43" w:rsidP="00472E43" w14:paraId="4E9E1350" w14:textId="16B2FD86">
      <w:pPr>
        <w:pStyle w:val="Bodytext2"/>
      </w:pPr>
      <w:r w:rsidRPr="00472E43">
        <w:t>Th</w:t>
      </w:r>
      <w:r w:rsidRPr="00472E43">
        <w:t>e applied discount rates are the weighted average pre-tax cost of capital (WACC) for each CGU as defined by Wärtsilä. The components of the WACC rates are the risk-free rate, market risk premium, industry specific beta, cost of debt, and debt equity ratio.</w:t>
      </w:r>
      <w:r w:rsidRPr="00472E43">
        <w:t xml:space="preserve"> Wärtsilä has used a WACC rate of 9.1% in the calculations for Wärtsilä Marine Business CGU and a WACC rate of 9.4% for Wärtsilä Energy Business CGU.</w:t>
      </w:r>
    </w:p>
    <w:p w:rsidR="002D612E" w:rsidRPr="00472E43" w:rsidP="00472E43" w14:paraId="2157C147" w14:textId="77777777">
      <w:pPr>
        <w:pStyle w:val="Bodytext2"/>
      </w:pPr>
    </w:p>
    <w:p w:rsidR="002D612E" w:rsidRPr="00472E43" w:rsidP="00472E43" w14:paraId="3E9E72C5" w14:textId="6BBBD7F9">
      <w:pPr>
        <w:pStyle w:val="Bodytext2"/>
      </w:pPr>
      <w:r w:rsidRPr="00472E43">
        <w:t xml:space="preserve">As a result of the impairment tests, no impairment loss for the CGUs was </w:t>
      </w:r>
      <w:r w:rsidRPr="00472E43">
        <w:t>recognised</w:t>
      </w:r>
      <w:r w:rsidRPr="00472E43">
        <w:t xml:space="preserve"> for the financial per</w:t>
      </w:r>
      <w:r w:rsidRPr="00472E43">
        <w:t>iod ended 31 December 2019. The recoverable amounts of both CGUs exceeded their respective carrying value substantially.</w:t>
      </w:r>
    </w:p>
    <w:p w:rsidR="002D612E" w:rsidRPr="00472E43" w:rsidP="00472E43" w14:paraId="5FA5CF53" w14:textId="77777777">
      <w:pPr>
        <w:pStyle w:val="Bodytext2"/>
      </w:pPr>
    </w:p>
    <w:p w:rsidR="002D612E" w:rsidP="002D612E" w14:paraId="770F823C" w14:textId="77777777">
      <w:pPr>
        <w:pStyle w:val="Heading13"/>
      </w:pPr>
      <w:r>
        <w:t>Sensitivity analysis</w:t>
      </w:r>
    </w:p>
    <w:p w:rsidR="002D612E" w:rsidRPr="00472E43" w:rsidP="00472E43" w14:paraId="290424E5" w14:textId="77D97073">
      <w:pPr>
        <w:pStyle w:val="Bodytext2"/>
      </w:pPr>
      <w:r w:rsidRPr="00472E43">
        <w:t>The management has assessed that no reasonable possible changes in the key assumptions would cause the carrying a</w:t>
      </w:r>
      <w:r w:rsidRPr="00472E43">
        <w:t xml:space="preserve">mount of either CGU to exceed its recoverable amount. A sensitivity analysis has been carried out for the valuation of the recoverable amount for each CGU by changing the assumptions used in the calculations. A change in an assumption that would cause the </w:t>
      </w:r>
      <w:r w:rsidRPr="00472E43">
        <w:t>recoverable amount to equal the carrying amount is presented in the table below separately for each CGU.</w:t>
      </w:r>
    </w:p>
    <w:p w:rsidR="002D612E" w:rsidRPr="00472E43" w:rsidP="00472E43" w14:paraId="1F082AA7" w14:textId="77777777">
      <w:pPr>
        <w:pStyle w:val="Bodytext2"/>
      </w:pPr>
    </w:p>
    <w:tbl>
      <w:tblPr>
        <w:tblStyle w:val="TableNormal"/>
        <w:tblCaption w:val="table_goodwill_sensitivity_previous"/>
        <w:tblW w:w="7365" w:type="dxa"/>
        <w:tblLayout w:type="fixed"/>
        <w:tblLook w:val="0600"/>
      </w:tblPr>
      <w:tblGrid>
        <w:gridCol w:w="2265"/>
        <w:gridCol w:w="5100"/>
      </w:tblGrid>
      <w:tr>
        <w:tblPrEx>
          <w:tblW w:w="7365" w:type="dxa"/>
          <w:tblLayout w:type="fixed"/>
          <w:tblLook w:val="0600"/>
        </w:tblPrEx>
        <w:trPr>
          <w:trHeight w:val="240"/>
        </w:trPr>
        <w:tc>
          <w:tcPr>
            <w:tcW w:w="226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510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Change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Wärtsilä Marine Business</w:t>
            </w:r>
          </w:p>
        </w:tc>
        <w:tc>
          <w:tcPr>
            <w:tcW w:w="510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Pre-tax discount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more than 15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Terminal growth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35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Profitability</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66 percentage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51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Wärtsilä Energy Business</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Pre-tax discount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more than 13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Terminal growth rate</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28 percentage points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25"/>
        </w:trPr>
        <w:tc>
          <w:tcPr>
            <w:tcW w:w="22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Profitability</w:t>
            </w:r>
          </w:p>
        </w:tc>
        <w:tc>
          <w:tcPr>
            <w:tcW w:w="510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more than 64 percentage</w:t>
            </w:r>
          </w:p>
        </w:tc>
      </w:tr>
    </w:tbl>
    <w:p w:rsidR="002D612E" w:rsidRPr="00472E43" w:rsidP="00472E43" w14:paraId="4DFE6FE5" w14:textId="77777777">
      <w:pPr>
        <w:pStyle w:val="Bodytext2"/>
      </w:pPr>
    </w:p>
    <w:p w:rsidR="00B14CC9" w:rsidRPr="002003F2" w:rsidP="00472E43" w14:textId="0673E454">
      <w:pPr>
        <w:pStyle w:val="Bodytext2"/>
        <w:rPr>
          <w:sz w:val="2"/>
          <w:szCs w:val="2"/>
        </w:rPr>
      </w:pPr>
      <w:r w:rsidRPr="00472E43">
        <w:t>In management’s opinion, the changes in the basic assumptions should not be seen as an indication that these</w:t>
      </w:r>
      <w:r w:rsidRPr="00472E43">
        <w:t xml:space="preserve"> factors are likely to </w:t>
      </w:r>
      <w:r w:rsidRPr="00472E43">
        <w:t>materialise</w:t>
      </w:r>
      <w:r w:rsidRPr="00472E43">
        <w:t>. The sensitivity analyses are hypothetical and should therefore be treated with caution.</w:t>
      </w:r>
      <w:r>
        <w:br w:type="column"/>
      </w:r>
    </w:p>
    <w:p w:rsidR="00142765" w:rsidRPr="00142765" w:rsidP="00142765" w14:paraId="2C8F2BFC" w14:textId="77777777">
      <w:pPr>
        <w:pStyle w:val="Heading12"/>
      </w:pPr>
      <w:bookmarkStart w:id="1164" w:name="RG_MARKER_4187"/>
      <w:r w:rsidRPr="00142765">
        <w:t>3.2. OTHER INTANGIBLE ASSETS</w:t>
      </w:r>
      <w:bookmarkEnd w:id="1164"/>
    </w:p>
    <w:tbl>
      <w:tblPr>
        <w:tblStyle w:val="TableGrid"/>
        <w:tblW w:w="7371" w:type="dxa"/>
        <w:tblLook w:val="04A0"/>
      </w:tblPr>
      <w:tblGrid>
        <w:gridCol w:w="7371"/>
      </w:tblGrid>
      <w:tr w14:paraId="06446BC5" w14:textId="77777777" w:rsidTr="00142765">
        <w:tblPrEx>
          <w:tblW w:w="7371" w:type="dxa"/>
          <w:tblLook w:val="04A0"/>
        </w:tblPrEx>
        <w:tc>
          <w:tcPr>
            <w:tcW w:w="7371" w:type="dxa"/>
            <w:tcBorders>
              <w:top w:val="nil"/>
              <w:left w:val="nil"/>
              <w:bottom w:val="nil"/>
              <w:right w:val="nil"/>
            </w:tcBorders>
            <w:shd w:val="clear" w:color="auto" w:fill="B6C8D1"/>
          </w:tcPr>
          <w:p w:rsidR="00142765" w:rsidRPr="00FA358C" w:rsidP="00142765" w14:paraId="0B972E87" w14:textId="77777777">
            <w:pPr>
              <w:pStyle w:val="Heading13"/>
              <w:rPr>
                <w:lang w:val="en-GB"/>
              </w:rPr>
            </w:pPr>
            <w:r w:rsidRPr="00B04FCD">
              <w:rPr>
                <w:lang w:val="en-GB"/>
              </w:rPr>
              <w:t>Accounting principles</w:t>
            </w:r>
          </w:p>
          <w:p w:rsidR="00142765" w:rsidRPr="00FA358C" w:rsidP="00142765" w14:paraId="41E0AB90" w14:textId="77777777">
            <w:pPr>
              <w:pStyle w:val="Heading13"/>
              <w:rPr>
                <w:lang w:val="en-GB"/>
              </w:rPr>
            </w:pPr>
            <w:r w:rsidRPr="00FA358C">
              <w:rPr>
                <w:lang w:val="en-GB"/>
              </w:rPr>
              <w:t>Research and development costs</w:t>
            </w:r>
          </w:p>
          <w:p w:rsidR="00142765" w:rsidRPr="00FA358C" w:rsidP="00142765" w14:paraId="632287D4" w14:textId="33CF29DF">
            <w:pPr>
              <w:pStyle w:val="Bodytext2"/>
              <w:rPr>
                <w:lang w:val="en-GB"/>
              </w:rPr>
            </w:pPr>
            <w:r w:rsidRPr="00FA358C">
              <w:rPr>
                <w:lang w:val="en-GB"/>
              </w:rPr>
              <w:t xml:space="preserve">Research costs are expensed in the </w:t>
            </w:r>
            <w:r>
              <w:rPr>
                <w:lang w:val="en-GB"/>
              </w:rPr>
              <w:t>reporting</w:t>
            </w:r>
            <w:r w:rsidRPr="00FA358C">
              <w:rPr>
                <w:lang w:val="en-GB"/>
              </w:rPr>
              <w:t xml:space="preserve"> period during which they occur. Development costs are capitalised when it is probable that the development project will generate future economic benefits for the Group and when the related criteria, including commercial and technological feasibility, have</w:t>
            </w:r>
            <w:r w:rsidRPr="00FA358C">
              <w:rPr>
                <w:lang w:val="en-GB"/>
              </w:rPr>
              <w:t xml:space="preserve"> been met. These projects involve the development of new or significantly improved products or production processes. Earlier expensed development costs are not capitalised. </w:t>
            </w:r>
          </w:p>
          <w:p w:rsidR="00142765" w:rsidRPr="00FA358C" w:rsidP="00142765" w14:paraId="3EC1CC06" w14:textId="77777777">
            <w:pPr>
              <w:pStyle w:val="Bodytext2"/>
              <w:rPr>
                <w:lang w:val="en-GB"/>
              </w:rPr>
            </w:pPr>
          </w:p>
          <w:p w:rsidR="00142765" w:rsidRPr="00FA358C" w:rsidP="00142765" w14:paraId="2BBCCD42" w14:textId="71C7B898">
            <w:pPr>
              <w:pStyle w:val="Bodytext2"/>
              <w:rPr>
                <w:lang w:val="en-GB"/>
              </w:rPr>
            </w:pPr>
            <w:r w:rsidRPr="00FA358C">
              <w:rPr>
                <w:lang w:val="en-GB"/>
              </w:rPr>
              <w:t>Capitalised development costs are measured at cost less accumulated amortisations</w:t>
            </w:r>
            <w:r w:rsidRPr="00FA358C">
              <w:rPr>
                <w:lang w:val="en-GB"/>
              </w:rPr>
              <w:t xml:space="preserve"> and impairment. Capitalised development costs are amortised and the cost of buildings, machinery, and facilities for development depreciated on a straight-line basis over their expected useful lives</w:t>
            </w:r>
            <w:r>
              <w:rPr>
                <w:lang w:val="en-GB"/>
              </w:rPr>
              <w:t xml:space="preserve"> of</w:t>
            </w:r>
            <w:r w:rsidRPr="00FA358C">
              <w:rPr>
                <w:lang w:val="en-GB"/>
              </w:rPr>
              <w:t xml:space="preserve"> 5-10 years. Amortisations are </w:t>
            </w:r>
            <w:r w:rsidRPr="00A42822">
              <w:rPr>
                <w:lang w:val="en-GB"/>
              </w:rPr>
              <w:t>started</w:t>
            </w:r>
            <w:r w:rsidRPr="00FA358C">
              <w:rPr>
                <w:lang w:val="en-GB"/>
              </w:rPr>
              <w:t xml:space="preserve"> when the asset </w:t>
            </w:r>
            <w:r w:rsidRPr="00FA358C">
              <w:rPr>
                <w:lang w:val="en-GB"/>
              </w:rPr>
              <w:t xml:space="preserve">is </w:t>
            </w:r>
            <w:r>
              <w:rPr>
                <w:lang w:val="en-GB"/>
              </w:rPr>
              <w:t>completed</w:t>
            </w:r>
            <w:r w:rsidRPr="00FA358C">
              <w:rPr>
                <w:lang w:val="en-GB"/>
              </w:rPr>
              <w:t xml:space="preserve"> and can be taken into use. Before that, the asset is tested </w:t>
            </w:r>
            <w:r>
              <w:rPr>
                <w:lang w:val="en-GB"/>
              </w:rPr>
              <w:t xml:space="preserve">annually </w:t>
            </w:r>
            <w:r w:rsidRPr="00FA358C">
              <w:rPr>
                <w:lang w:val="en-GB"/>
              </w:rPr>
              <w:t>for impairment. Grants received for research and development are reported as other operating income. Grants related to capitalised development costs are netted with the costs</w:t>
            </w:r>
            <w:r w:rsidRPr="00FA358C">
              <w:rPr>
                <w:lang w:val="en-GB"/>
              </w:rPr>
              <w:t xml:space="preserve"> </w:t>
            </w:r>
            <w:r>
              <w:rPr>
                <w:lang w:val="en-GB"/>
              </w:rPr>
              <w:t>in</w:t>
            </w:r>
            <w:r w:rsidRPr="00FA358C">
              <w:rPr>
                <w:lang w:val="en-GB"/>
              </w:rPr>
              <w:t>curred before the capitalisation.</w:t>
            </w:r>
          </w:p>
          <w:p w:rsidR="00142765" w:rsidRPr="00FA358C" w:rsidP="00142765" w14:paraId="051B36F8" w14:textId="77777777">
            <w:pPr>
              <w:pStyle w:val="Bodytext2"/>
              <w:rPr>
                <w:lang w:val="en-GB"/>
              </w:rPr>
            </w:pPr>
          </w:p>
          <w:p w:rsidR="00142765" w:rsidRPr="00FA358C" w:rsidP="00142765" w14:paraId="00188158" w14:textId="77777777">
            <w:pPr>
              <w:pStyle w:val="Heading13"/>
              <w:rPr>
                <w:lang w:val="en-GB"/>
              </w:rPr>
            </w:pPr>
            <w:r w:rsidRPr="00FA358C">
              <w:rPr>
                <w:lang w:val="en-GB"/>
              </w:rPr>
              <w:t>Other intangible assets</w:t>
            </w:r>
          </w:p>
          <w:p w:rsidR="00142765" w:rsidRPr="00FA358C" w:rsidP="00142765" w14:paraId="4726B7C1" w14:textId="2E4DF3E8">
            <w:pPr>
              <w:pStyle w:val="Bodytext2"/>
              <w:rPr>
                <w:lang w:val="en-GB"/>
              </w:rPr>
            </w:pPr>
            <w:r w:rsidRPr="00FA358C">
              <w:rPr>
                <w:lang w:val="en-GB"/>
              </w:rPr>
              <w:t>Other intangible assets are reco</w:t>
            </w:r>
            <w:r>
              <w:rPr>
                <w:lang w:val="en-GB"/>
              </w:rPr>
              <w:t>gnised</w:t>
            </w:r>
            <w:r w:rsidRPr="00FA358C">
              <w:rPr>
                <w:lang w:val="en-GB"/>
              </w:rPr>
              <w:t xml:space="preserve"> at cost if the cost is reliably measurable and the future economic benefits for the Group are probable. </w:t>
            </w:r>
            <w:r w:rsidRPr="00FA358C">
              <w:rPr>
                <w:lang w:val="en-GB"/>
              </w:rPr>
              <w:t>Wärtsilä’s</w:t>
            </w:r>
            <w:r w:rsidRPr="00FA358C">
              <w:rPr>
                <w:lang w:val="en-GB"/>
              </w:rPr>
              <w:t xml:space="preserve"> other intangible assets include patents,</w:t>
            </w:r>
            <w:r w:rsidRPr="00FA358C">
              <w:rPr>
                <w:lang w:val="en-GB"/>
              </w:rPr>
              <w:t xml:space="preserve"> licenses, software, customer relations and other intellectual property rights that can be transferred to a third party. These are measured at cost, except for intangible assets identified in connection with acquisitions, which are measured at the fair val</w:t>
            </w:r>
            <w:r w:rsidRPr="00FA358C">
              <w:rPr>
                <w:lang w:val="en-GB"/>
              </w:rPr>
              <w:t>ue at the acquisition date. The cost of intangible assets comprises the purchase price and all costs that can be directly attributed to preparing an asset for its intended use.</w:t>
            </w:r>
          </w:p>
          <w:p w:rsidR="00142765" w:rsidRPr="00FA358C" w:rsidP="00142765" w14:paraId="33643617" w14:textId="77777777">
            <w:pPr>
              <w:pStyle w:val="Bodytext2"/>
              <w:rPr>
                <w:lang w:val="en-GB"/>
              </w:rPr>
            </w:pPr>
          </w:p>
          <w:p w:rsidR="00142765" w:rsidRPr="00FA358C" w:rsidP="00142765" w14:paraId="267BE2B4" w14:textId="77777777">
            <w:pPr>
              <w:pStyle w:val="Bodytext2"/>
              <w:rPr>
                <w:lang w:val="en-GB"/>
              </w:rPr>
            </w:pPr>
            <w:r w:rsidRPr="00FA358C">
              <w:rPr>
                <w:lang w:val="en-GB"/>
              </w:rPr>
              <w:t>Other intangible assets are amortised on a straight-line basis over their esti</w:t>
            </w:r>
            <w:r w:rsidRPr="00FA358C">
              <w:rPr>
                <w:lang w:val="en-GB"/>
              </w:rPr>
              <w:t>mated useful lives. Intangible assets, for which the time limit for the right of use is agreed, are amortised over the life of the contract. Intangible assets identified in connection with acquisitions are amortised over their delivery times or estimated u</w:t>
            </w:r>
            <w:r w:rsidRPr="00FA358C">
              <w:rPr>
                <w:lang w:val="en-GB"/>
              </w:rPr>
              <w:t>seful lives.</w:t>
            </w:r>
          </w:p>
          <w:p w:rsidR="00142765" w:rsidRPr="00FA358C" w:rsidP="00142765" w14:paraId="79B4DEC4" w14:textId="77777777">
            <w:pPr>
              <w:pStyle w:val="Bodytext2"/>
              <w:rPr>
                <w:lang w:val="en-GB"/>
              </w:rPr>
            </w:pPr>
          </w:p>
          <w:p w:rsidR="00142765" w:rsidRPr="00FA358C" w:rsidP="00142765" w14:paraId="2AD2FB11" w14:textId="77777777">
            <w:pPr>
              <w:pStyle w:val="Bodytext2"/>
              <w:rPr>
                <w:lang w:val="en-GB"/>
              </w:rPr>
            </w:pPr>
            <w:r w:rsidRPr="00FA358C">
              <w:rPr>
                <w:lang w:val="en-GB"/>
              </w:rPr>
              <w:t>The general guidelines for scheduled amortisation are:</w:t>
            </w:r>
          </w:p>
          <w:p w:rsidR="00142765" w:rsidRPr="00FA358C" w:rsidP="00142765" w14:paraId="7AF68A5F" w14:textId="77777777">
            <w:pPr>
              <w:pStyle w:val="Bodytext2"/>
              <w:rPr>
                <w:lang w:val="en-GB"/>
              </w:rPr>
            </w:pPr>
            <w:r w:rsidRPr="00FA358C">
              <w:rPr>
                <w:lang w:val="en-GB"/>
              </w:rPr>
              <w:t>• Software 3-7 years</w:t>
            </w:r>
          </w:p>
          <w:p w:rsidR="00142765" w:rsidRPr="00FA358C" w:rsidP="00142765" w14:paraId="5F275E7D" w14:textId="77777777">
            <w:pPr>
              <w:pStyle w:val="Bodytext2"/>
              <w:rPr>
                <w:lang w:val="en-GB"/>
              </w:rPr>
            </w:pPr>
            <w:r w:rsidRPr="00FA358C">
              <w:rPr>
                <w:lang w:val="en-GB"/>
              </w:rPr>
              <w:t>• Development expenses 5-10 years</w:t>
            </w:r>
          </w:p>
          <w:p w:rsidR="00142765" w:rsidRPr="00FA358C" w:rsidP="00142765" w14:paraId="0460C48B" w14:textId="77777777">
            <w:pPr>
              <w:pStyle w:val="Bodytext2"/>
              <w:rPr>
                <w:lang w:val="en-GB"/>
              </w:rPr>
            </w:pPr>
            <w:r w:rsidRPr="00FA358C">
              <w:rPr>
                <w:lang w:val="en-GB"/>
              </w:rPr>
              <w:t>• Other intangible assets 5-20 years</w:t>
            </w:r>
          </w:p>
          <w:p w:rsidR="00142765" w:rsidRPr="00FA358C" w:rsidP="00142765" w14:paraId="0F60C7E4" w14:textId="77777777">
            <w:pPr>
              <w:pStyle w:val="Bodytext2"/>
              <w:rPr>
                <w:lang w:val="en-GB"/>
              </w:rPr>
            </w:pPr>
          </w:p>
          <w:p w:rsidR="00142765" w:rsidRPr="00FA358C" w:rsidP="00142765" w14:paraId="0EE11C92" w14:textId="0A79D8C5">
            <w:pPr>
              <w:pStyle w:val="Bodytext2"/>
              <w:rPr>
                <w:lang w:val="en-GB"/>
              </w:rPr>
            </w:pPr>
            <w:r>
              <w:rPr>
                <w:lang w:val="en-GB"/>
              </w:rPr>
              <w:t>The a</w:t>
            </w:r>
            <w:r w:rsidRPr="00FA358C">
              <w:rPr>
                <w:lang w:val="en-GB"/>
              </w:rPr>
              <w:t xml:space="preserve">mortisation of intangible assets is </w:t>
            </w:r>
            <w:r>
              <w:rPr>
                <w:lang w:val="en-GB"/>
              </w:rPr>
              <w:t>discontinued</w:t>
            </w:r>
            <w:r w:rsidRPr="00FA358C">
              <w:rPr>
                <w:lang w:val="en-GB"/>
              </w:rPr>
              <w:t xml:space="preserve"> when an item is classified as held for s</w:t>
            </w:r>
            <w:r w:rsidRPr="00FA358C">
              <w:rPr>
                <w:lang w:val="en-GB"/>
              </w:rPr>
              <w:t>ale.</w:t>
            </w:r>
          </w:p>
          <w:p w:rsidR="00142765" w:rsidRPr="00FA358C" w:rsidP="00142765" w14:paraId="6D11BCFE" w14:textId="77777777">
            <w:pPr>
              <w:pStyle w:val="Bodytext2"/>
              <w:rPr>
                <w:lang w:val="en-GB"/>
              </w:rPr>
            </w:pPr>
          </w:p>
          <w:p w:rsidR="00142765" w:rsidRPr="00FA358C" w:rsidP="00142765" w14:paraId="5C8C3FB4" w14:textId="3E49E945">
            <w:pPr>
              <w:pStyle w:val="Bodytext2"/>
              <w:rPr>
                <w:lang w:val="en-GB"/>
              </w:rPr>
            </w:pPr>
            <w:r w:rsidRPr="00FA358C">
              <w:rPr>
                <w:lang w:val="en-GB"/>
              </w:rPr>
              <w:t xml:space="preserve">A gain or loss arising from the sale of intangible assets is recognised </w:t>
            </w:r>
            <w:r>
              <w:rPr>
                <w:lang w:val="en-GB"/>
              </w:rPr>
              <w:t>as</w:t>
            </w:r>
            <w:r w:rsidRPr="00FA358C">
              <w:rPr>
                <w:lang w:val="en-GB"/>
              </w:rPr>
              <w:t xml:space="preserve"> other operating income or other operating expenses in the statement of income</w:t>
            </w:r>
            <w:r>
              <w:rPr>
                <w:lang w:val="en-GB"/>
              </w:rPr>
              <w:t>.</w:t>
            </w:r>
          </w:p>
          <w:p w:rsidR="00142765" w:rsidRPr="00FA358C" w:rsidP="00142765" w14:paraId="0B74B7BB" w14:textId="77777777">
            <w:pPr>
              <w:pStyle w:val="Bodytext2"/>
              <w:rPr>
                <w:lang w:val="en-GB"/>
              </w:rPr>
            </w:pPr>
          </w:p>
          <w:p w:rsidR="00142765" w:rsidRPr="00FA358C" w:rsidP="00142765" w14:paraId="17B94486" w14:textId="77777777">
            <w:pPr>
              <w:pStyle w:val="Heading13"/>
              <w:rPr>
                <w:lang w:val="en-GB"/>
              </w:rPr>
            </w:pPr>
            <w:r w:rsidRPr="00FA358C">
              <w:rPr>
                <w:lang w:val="en-GB"/>
              </w:rPr>
              <w:t>Impairment of assets</w:t>
            </w:r>
          </w:p>
          <w:p w:rsidR="00142765" w:rsidRPr="00FA358C" w:rsidP="00142765" w14:paraId="39867603" w14:textId="42410F4A">
            <w:pPr>
              <w:pStyle w:val="Bodytext2"/>
              <w:rPr>
                <w:lang w:val="en-GB"/>
              </w:rPr>
            </w:pPr>
            <w:r w:rsidRPr="00FA358C">
              <w:rPr>
                <w:lang w:val="en-GB"/>
              </w:rPr>
              <w:t>The carrying amounts of assets are reviewed annually for signs of possible</w:t>
            </w:r>
            <w:r w:rsidRPr="00FA358C">
              <w:rPr>
                <w:lang w:val="en-GB"/>
              </w:rPr>
              <w:t xml:space="preserve"> impairment or more frequently should any indication of impairment arise. If any such indication exists, the recoverable amount of the asset is estimated and compared to the carrying amount of the asset. An impairment loss is reco</w:t>
            </w:r>
            <w:r>
              <w:rPr>
                <w:lang w:val="en-GB"/>
              </w:rPr>
              <w:t>gnised</w:t>
            </w:r>
            <w:r w:rsidRPr="00FA358C">
              <w:rPr>
                <w:lang w:val="en-GB"/>
              </w:rPr>
              <w:t xml:space="preserve"> when the carrying a</w:t>
            </w:r>
            <w:r w:rsidRPr="00FA358C">
              <w:rPr>
                <w:lang w:val="en-GB"/>
              </w:rPr>
              <w:t>mount of an asset is greater than its recoverable amount. The recoverable amount is the higher of an asset’s fair value less costs to sell and its value in use.</w:t>
            </w:r>
          </w:p>
          <w:p w:rsidR="00142765" w:rsidRPr="00FA358C" w:rsidP="00142765" w14:paraId="766A26CE" w14:textId="77777777">
            <w:pPr>
              <w:pStyle w:val="Bodytext2"/>
              <w:rPr>
                <w:lang w:val="en-GB"/>
              </w:rPr>
            </w:pPr>
          </w:p>
          <w:p w:rsidR="00142765" w:rsidRPr="00FA358C" w:rsidP="00142765" w14:paraId="615FA53E" w14:textId="5E8AF68D">
            <w:pPr>
              <w:pStyle w:val="Bodytext2"/>
              <w:rPr>
                <w:lang w:val="en-GB"/>
              </w:rPr>
            </w:pPr>
            <w:r w:rsidRPr="00FA358C">
              <w:rPr>
                <w:lang w:val="en-GB"/>
              </w:rPr>
              <w:t xml:space="preserve">An impairment loss is recognised immediately </w:t>
            </w:r>
            <w:r>
              <w:rPr>
                <w:color w:val="0F172B"/>
                <w:szCs w:val="15"/>
                <w:lang w:val="en-GB"/>
              </w:rPr>
              <w:t xml:space="preserve">as depreciation, amortisation and impairment </w:t>
            </w:r>
            <w:r w:rsidRPr="00FA358C">
              <w:rPr>
                <w:lang w:val="en-GB"/>
              </w:rPr>
              <w:t>in t</w:t>
            </w:r>
            <w:r w:rsidRPr="00FA358C">
              <w:rPr>
                <w:lang w:val="en-GB"/>
              </w:rPr>
              <w:t>he statement of income. In connection with the recognition of the impairment loss, the useful life of the amortisable asset is reassessed. An earlier impairment loss recognised for an asset is reversed if the estimates used to determine the recoverable amo</w:t>
            </w:r>
            <w:r w:rsidRPr="00FA358C">
              <w:rPr>
                <w:lang w:val="en-GB"/>
              </w:rPr>
              <w:t xml:space="preserve">unt change. However, </w:t>
            </w:r>
            <w:r>
              <w:rPr>
                <w:lang w:val="en-GB"/>
              </w:rPr>
              <w:t xml:space="preserve">any </w:t>
            </w:r>
            <w:r w:rsidRPr="00FA358C">
              <w:rPr>
                <w:lang w:val="en-GB"/>
              </w:rPr>
              <w:t>reversal of impairment shall not exceed the asset’s carrying amount less impairment loss.</w:t>
            </w:r>
          </w:p>
          <w:p w:rsidR="00142765" w:rsidRPr="00FA358C" w:rsidP="00142765" w14:paraId="2D5337D5" w14:textId="77777777">
            <w:pPr>
              <w:pStyle w:val="Bodytext2"/>
              <w:rPr>
                <w:lang w:val="en-GB"/>
              </w:rPr>
            </w:pPr>
          </w:p>
          <w:p w:rsidR="00142765" w:rsidRPr="00B04FCD" w:rsidP="00142765" w14:paraId="6C91A6F7" w14:textId="6590D5C8">
            <w:pPr>
              <w:pStyle w:val="Heading13"/>
              <w:rPr>
                <w:lang w:val="en-GB"/>
              </w:rPr>
            </w:pPr>
            <w:r w:rsidRPr="00B04FCD">
              <w:rPr>
                <w:lang w:val="en-GB"/>
              </w:rPr>
              <w:t>Accounting estimates and judgement</w:t>
            </w:r>
            <w:r>
              <w:rPr>
                <w:lang w:val="en-GB"/>
              </w:rPr>
              <w:t>s</w:t>
            </w:r>
          </w:p>
          <w:p w:rsidR="00142765" w:rsidRPr="007B0A0B" w:rsidP="00142765" w14:paraId="2ABF419A" w14:textId="40CF52E9">
            <w:pPr>
              <w:pStyle w:val="Bodytext2"/>
              <w:rPr>
                <w:lang w:val="en-GB"/>
              </w:rPr>
            </w:pPr>
            <w:r w:rsidRPr="00B04FCD">
              <w:rPr>
                <w:lang w:val="en-GB"/>
              </w:rPr>
              <w:t xml:space="preserve">Assessing </w:t>
            </w:r>
            <w:r>
              <w:rPr>
                <w:lang w:val="en-GB"/>
              </w:rPr>
              <w:t xml:space="preserve">the </w:t>
            </w:r>
            <w:r w:rsidRPr="00B04FCD">
              <w:rPr>
                <w:lang w:val="en-GB"/>
              </w:rPr>
              <w:t>probability of expected future economic benefits and</w:t>
            </w:r>
            <w:r>
              <w:rPr>
                <w:lang w:val="en-GB"/>
              </w:rPr>
              <w:t xml:space="preserve"> the</w:t>
            </w:r>
            <w:r w:rsidRPr="00B04FCD">
              <w:rPr>
                <w:lang w:val="en-GB"/>
              </w:rPr>
              <w:t xml:space="preserve"> useful lives of intangible assets require management judgement. The estimated useful lives and the residual values are reviewed at least at the end of each </w:t>
            </w:r>
            <w:r>
              <w:rPr>
                <w:lang w:val="en-GB"/>
              </w:rPr>
              <w:t>reporting</w:t>
            </w:r>
            <w:r w:rsidRPr="00B04FCD">
              <w:rPr>
                <w:lang w:val="en-GB"/>
              </w:rPr>
              <w:t xml:space="preserve"> period, and if they differ significantly from previous estimates, </w:t>
            </w:r>
            <w:r>
              <w:rPr>
                <w:lang w:val="en-GB"/>
              </w:rPr>
              <w:t xml:space="preserve">the </w:t>
            </w:r>
            <w:r w:rsidRPr="00B04FCD">
              <w:rPr>
                <w:lang w:val="en-GB"/>
              </w:rPr>
              <w:t xml:space="preserve">amortisation </w:t>
            </w:r>
            <w:r w:rsidRPr="00B04FCD">
              <w:rPr>
                <w:lang w:val="en-GB"/>
              </w:rPr>
              <w:t xml:space="preserve">periods are adjusted accordingly. </w:t>
            </w:r>
            <w:r w:rsidRPr="007B0A0B">
              <w:rPr>
                <w:lang w:val="en-GB"/>
              </w:rPr>
              <w:t>Also</w:t>
            </w:r>
            <w:r>
              <w:rPr>
                <w:lang w:val="en-GB"/>
              </w:rPr>
              <w:t>,</w:t>
            </w:r>
            <w:r w:rsidRPr="007B0A0B">
              <w:rPr>
                <w:lang w:val="en-GB"/>
              </w:rPr>
              <w:t xml:space="preserve"> assessing any indication of impairment requires management judgement.</w:t>
            </w:r>
          </w:p>
        </w:tc>
      </w:tr>
    </w:tbl>
    <w:p w:rsidR="00142765" w:rsidRPr="00142765" w:rsidP="00142765" w14:paraId="09E7083C" w14:textId="77777777">
      <w:pPr>
        <w:pStyle w:val="Bodytext2"/>
      </w:pPr>
    </w:p>
    <w:p w:rsidR="00142765" w:rsidRPr="00142765" w:rsidP="00142765" w14:paraId="7F33AAF4" w14:textId="77777777">
      <w:pPr>
        <w:pStyle w:val="Heading13"/>
      </w:pPr>
      <w:r w:rsidRPr="00142765">
        <w:t>2020</w:t>
      </w:r>
    </w:p>
    <w:p w:rsidR="00142765" w:rsidRPr="00142765" w:rsidP="00142765" w14:paraId="7C324594" w14:textId="77777777">
      <w:pPr>
        <w:pStyle w:val="Bodytext2"/>
      </w:pPr>
    </w:p>
    <w:tbl>
      <w:tblPr>
        <w:tblStyle w:val="TableNormal"/>
        <w:tblCaption w:val="table_intangible_assets_current"/>
        <w:tblW w:w="7305" w:type="dxa"/>
        <w:tblLayout w:type="fixed"/>
        <w:tblLook w:val="0600"/>
      </w:tblPr>
      <w:tblGrid>
        <w:gridCol w:w="3525"/>
        <w:gridCol w:w="945"/>
        <w:gridCol w:w="945"/>
        <w:gridCol w:w="945"/>
        <w:gridCol w:w="945"/>
      </w:tblGrid>
      <w:tr>
        <w:tblPrEx>
          <w:tblW w:w="7305" w:type="dxa"/>
          <w:tblLayout w:type="fixed"/>
          <w:tblLook w:val="0600"/>
        </w:tblPrEx>
        <w:trPr>
          <w:trHeight w:val="240"/>
        </w:trPr>
        <w:tc>
          <w:tcPr>
            <w:tcW w:w="35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Develop-</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expenses</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Construc-</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tion in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progress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advances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paid</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Other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intangible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Total </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Cost on 1 January 2020</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169</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85</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860</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1,114</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Acquisitions and disposals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54</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Decreases and other changes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Reclassifications</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Cost on 31 December 2020</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182</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123</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829</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1,134</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amortisation and impairment on 1 January 2020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-104</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-613</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-717</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amortisation on decreases and other changes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Amortisation during the financial period</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-54</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Impairments</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2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Accumulated amortisation and impairment on 31 December 2020</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-115</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-628</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-743</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 2020</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68</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122</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391</w:t>
            </w:r>
          </w:p>
        </w:tc>
      </w:tr>
    </w:tbl>
    <w:p w:rsidR="00142765" w:rsidRPr="00142765" w:rsidP="00142765" w14:paraId="48FF99A3" w14:textId="77777777">
      <w:pPr>
        <w:pStyle w:val="Bodytext2"/>
      </w:pPr>
    </w:p>
    <w:p w:rsidR="00142765" w:rsidRPr="00142765" w:rsidP="00142765" w14:paraId="10B5D996" w14:textId="24A853F2">
      <w:pPr>
        <w:pStyle w:val="Bodytext2"/>
      </w:pPr>
      <w:r w:rsidRPr="00142765">
        <w:t xml:space="preserve">Development costs for internally generated assets </w:t>
      </w:r>
      <w:r w:rsidRPr="00142765">
        <w:t>capitalised</w:t>
      </w:r>
      <w:r w:rsidRPr="00142765">
        <w:t xml:space="preserve"> during the financial</w:t>
      </w:r>
      <w:r w:rsidRPr="00142765">
        <w:t xml:space="preserve"> period amounted to EUR </w:t>
      </w:r>
      <w:r>
        <w:t>52</w:t>
      </w:r>
      <w:r w:rsidRPr="00142765">
        <w:t xml:space="preserve"> million (49). The carrying amount was EUR </w:t>
      </w:r>
      <w:r>
        <w:t>179</w:t>
      </w:r>
      <w:r w:rsidRPr="00142765">
        <w:t xml:space="preserve"> million (135).</w:t>
      </w:r>
    </w:p>
    <w:p w:rsidR="00142765" w:rsidRPr="00142765" w:rsidP="00142765" w14:paraId="2B68FB07" w14:textId="77777777">
      <w:pPr>
        <w:pStyle w:val="Bodytext2"/>
      </w:pPr>
    </w:p>
    <w:p w:rsidR="00142765" w:rsidRPr="00142765" w:rsidP="00142765" w14:paraId="75730379" w14:textId="13C14AAA">
      <w:pPr>
        <w:pStyle w:val="Bodytext2"/>
      </w:pPr>
      <w:r w:rsidRPr="00142765">
        <w:t xml:space="preserve">Purchase price allocation </w:t>
      </w:r>
      <w:r w:rsidRPr="00142765">
        <w:t>amortisation</w:t>
      </w:r>
      <w:r w:rsidRPr="00142765">
        <w:t xml:space="preserve"> amounted to EUR </w:t>
      </w:r>
      <w:r>
        <w:t>33</w:t>
      </w:r>
      <w:r w:rsidRPr="00142765">
        <w:t xml:space="preserve"> million (41) and the related carrying amount was EUR </w:t>
      </w:r>
      <w:r>
        <w:t>171</w:t>
      </w:r>
      <w:r w:rsidRPr="00142765">
        <w:t xml:space="preserve"> million (209).</w:t>
      </w:r>
    </w:p>
    <w:p w:rsidR="00142765" w:rsidRPr="00142765" w:rsidP="00142765" w14:paraId="5859212E" w14:textId="77777777">
      <w:pPr>
        <w:pStyle w:val="Bodytext2"/>
      </w:pPr>
    </w:p>
    <w:p w:rsidR="00142765" w:rsidRPr="00142765" w:rsidP="00142765" w14:paraId="6E5AD506" w14:textId="77777777">
      <w:pPr>
        <w:pStyle w:val="Heading13"/>
      </w:pPr>
      <w:r w:rsidRPr="00142765">
        <w:t>2019</w:t>
      </w:r>
    </w:p>
    <w:p w:rsidR="00142765" w:rsidRPr="00142765" w:rsidP="00142765" w14:paraId="2DAB35ED" w14:textId="77777777">
      <w:pPr>
        <w:pStyle w:val="Bodytext2"/>
      </w:pPr>
    </w:p>
    <w:tbl>
      <w:tblPr>
        <w:tblStyle w:val="TableNormal"/>
        <w:tblCaption w:val="table_intangible_assets_previous"/>
        <w:tblW w:w="7305" w:type="dxa"/>
        <w:tblLayout w:type="fixed"/>
        <w:tblLook w:val="0600"/>
      </w:tblPr>
      <w:tblGrid>
        <w:gridCol w:w="3525"/>
        <w:gridCol w:w="945"/>
        <w:gridCol w:w="945"/>
        <w:gridCol w:w="945"/>
        <w:gridCol w:w="945"/>
      </w:tblGrid>
      <w:tr>
        <w:tblPrEx>
          <w:tblW w:w="7305" w:type="dxa"/>
          <w:tblLayout w:type="fixed"/>
          <w:tblLook w:val="0600"/>
        </w:tblPrEx>
        <w:trPr>
          <w:trHeight w:val="240"/>
        </w:trPr>
        <w:tc>
          <w:tcPr>
            <w:tcW w:w="35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Develop-</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expenses</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Construc-</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tion in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progress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advances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paid</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Other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intangible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Total </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Cost on 1 January 2019</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141</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53</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857</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1,051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Acquisitions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55</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Decreases and other changes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Reclassifications</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Cost on 31 December 2019</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169</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860</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1,114</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amortisation and impairment on 1 January 2019</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-94</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-565</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-659</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amortisation on decreases and other changes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Amortisation during the financial period</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2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Accumulated amortisation and impairment on 31 December 2019</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-104</w:t>
            </w: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-613</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-717</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 2019</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247</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397</w:t>
            </w:r>
          </w:p>
        </w:tc>
      </w:tr>
    </w:tbl>
    <w:p w:rsidR="00142765" w:rsidRPr="00192F38" w:rsidP="00142765" w14:paraId="1C408A8F" w14:textId="0584CEED">
      <w:pPr>
        <w:pStyle w:val="Bodytext2"/>
        <w:rPr>
          <w:sz w:val="2"/>
          <w:szCs w:val="2"/>
        </w:rPr>
      </w:pPr>
      <w:r>
        <w:br w:type="column"/>
      </w:r>
    </w:p>
    <w:p w:rsidR="009D5A4F" w:rsidP="009D5A4F" w14:paraId="2D65BDB0" w14:textId="77777777">
      <w:pPr>
        <w:pStyle w:val="Heading12"/>
      </w:pPr>
      <w:bookmarkStart w:id="1165" w:name="RG_MARKER_4186"/>
      <w:r>
        <w:t>3.3. PROPERTY, PLANT AND EQUIPMENT</w:t>
      </w:r>
      <w:bookmarkEnd w:id="1165"/>
    </w:p>
    <w:tbl>
      <w:tblPr>
        <w:tblStyle w:val="TableGrid"/>
        <w:tblW w:w="7371" w:type="dxa"/>
        <w:tblLook w:val="04A0"/>
      </w:tblPr>
      <w:tblGrid>
        <w:gridCol w:w="7371"/>
      </w:tblGrid>
      <w:tr w14:paraId="0EB9AC79" w14:textId="77777777" w:rsidTr="009D5A4F">
        <w:tblPrEx>
          <w:tblW w:w="7371" w:type="dxa"/>
          <w:tblLook w:val="04A0"/>
        </w:tblPrEx>
        <w:tc>
          <w:tcPr>
            <w:tcW w:w="7371" w:type="dxa"/>
            <w:tcBorders>
              <w:top w:val="nil"/>
              <w:left w:val="nil"/>
              <w:bottom w:val="nil"/>
              <w:right w:val="nil"/>
            </w:tcBorders>
            <w:shd w:val="clear" w:color="auto" w:fill="B6C8D1"/>
          </w:tcPr>
          <w:p w:rsidR="009D5A4F" w:rsidRPr="003331BF" w:rsidP="009D5A4F" w14:paraId="332AE1E1" w14:textId="77777777">
            <w:pPr>
              <w:pStyle w:val="Heading13"/>
              <w:rPr>
                <w:lang w:val="en-GB"/>
              </w:rPr>
            </w:pPr>
            <w:r w:rsidRPr="009E3C51">
              <w:rPr>
                <w:lang w:val="en-GB"/>
              </w:rPr>
              <w:t>Accounting principles</w:t>
            </w:r>
          </w:p>
          <w:p w:rsidR="009D5A4F" w:rsidRPr="003331BF" w:rsidP="009D5A4F" w14:paraId="0F283F85" w14:textId="295C68A5">
            <w:pPr>
              <w:pStyle w:val="Bodytext2"/>
              <w:rPr>
                <w:lang w:val="en-GB"/>
              </w:rPr>
            </w:pPr>
            <w:r w:rsidRPr="003331BF">
              <w:rPr>
                <w:lang w:val="en-GB"/>
              </w:rPr>
              <w:t xml:space="preserve">Property, plant and equipment acquired by the Group are measured in the statement of financial position at cost less accumulated depreciation and impairment losses. The cost of an asset includes costs directly attributed to preparing </w:t>
            </w:r>
            <w:r w:rsidR="005E4FEF">
              <w:rPr>
                <w:lang w:val="en-GB"/>
              </w:rPr>
              <w:t>the</w:t>
            </w:r>
            <w:r w:rsidRPr="003331BF">
              <w:rPr>
                <w:lang w:val="en-GB"/>
              </w:rPr>
              <w:t xml:space="preserve"> asset for its inte</w:t>
            </w:r>
            <w:r w:rsidRPr="003331BF">
              <w:rPr>
                <w:lang w:val="en-GB"/>
              </w:rPr>
              <w:t>nded use. Grants received are reported as a reduction in costs. The property, plant and equipment of acquired subsidiaries are measured at their fair value at the acquisition date. The borrowing costs that are directly attributable to the asset acquisition</w:t>
            </w:r>
            <w:r w:rsidRPr="003331BF">
              <w:rPr>
                <w:lang w:val="en-GB"/>
              </w:rPr>
              <w:t xml:space="preserve">, construction or production, and to </w:t>
            </w:r>
            <w:r w:rsidR="005E4FEF">
              <w:rPr>
                <w:lang w:val="en-GB"/>
              </w:rPr>
              <w:t xml:space="preserve">the </w:t>
            </w:r>
            <w:r w:rsidRPr="003331BF">
              <w:rPr>
                <w:lang w:val="en-GB"/>
              </w:rPr>
              <w:t>completion of the asset for its intended use or sale requiring necessarily a considerable length of time, will be capitalised in the statement of financial position as part of the cost of the asset. Other than direc</w:t>
            </w:r>
            <w:r w:rsidRPr="003331BF">
              <w:rPr>
                <w:lang w:val="en-GB"/>
              </w:rPr>
              <w:t>tly attributable borrowing, costs are expensed in the period in which they are incurred.</w:t>
            </w:r>
          </w:p>
          <w:p w:rsidR="009D5A4F" w:rsidRPr="003331BF" w:rsidP="009D5A4F" w14:paraId="16198F6F" w14:textId="77777777">
            <w:pPr>
              <w:pStyle w:val="Bodytext2"/>
              <w:rPr>
                <w:lang w:val="en-GB"/>
              </w:rPr>
            </w:pPr>
          </w:p>
          <w:p w:rsidR="009D5A4F" w:rsidRPr="003331BF" w:rsidP="009D5A4F" w14:paraId="6DA05F0D" w14:textId="4063C83E">
            <w:pPr>
              <w:pStyle w:val="Bodytext2"/>
              <w:rPr>
                <w:lang w:val="en-GB"/>
              </w:rPr>
            </w:pPr>
            <w:r w:rsidRPr="003331BF">
              <w:rPr>
                <w:lang w:val="en-GB"/>
              </w:rPr>
              <w:t>Subsequent expenditure is included in the cost of an asset only if the future economic benefits are probable and the costs are reliably measurable. Expenditure relate</w:t>
            </w:r>
            <w:r w:rsidRPr="003331BF">
              <w:rPr>
                <w:lang w:val="en-GB"/>
              </w:rPr>
              <w:t xml:space="preserve">d to regular, extensive inspections and maintenance is treated as an investment, capitalised and depreciated during the useful life. All other expenditure, such as ordinary maintenance and repairs, is recognised in the statement of income as an expense as </w:t>
            </w:r>
            <w:r w:rsidRPr="003331BF">
              <w:rPr>
                <w:lang w:val="en-GB"/>
              </w:rPr>
              <w:t>incurred.</w:t>
            </w:r>
          </w:p>
          <w:p w:rsidR="009D5A4F" w:rsidRPr="003331BF" w:rsidP="009D5A4F" w14:paraId="3C6B6BBC" w14:textId="77777777">
            <w:pPr>
              <w:pStyle w:val="Bodytext2"/>
              <w:rPr>
                <w:lang w:val="en-GB"/>
              </w:rPr>
            </w:pPr>
          </w:p>
          <w:p w:rsidR="009D5A4F" w:rsidRPr="003331BF" w:rsidP="009D5A4F" w14:paraId="0010E870" w14:textId="77777777">
            <w:pPr>
              <w:pStyle w:val="Bodytext2"/>
              <w:rPr>
                <w:lang w:val="en-GB"/>
              </w:rPr>
            </w:pPr>
            <w:r w:rsidRPr="003331BF">
              <w:rPr>
                <w:lang w:val="en-GB"/>
              </w:rPr>
              <w:t>Depreciation is based on the following estimated useful lives:</w:t>
            </w:r>
          </w:p>
          <w:p w:rsidR="009D5A4F" w:rsidRPr="003331BF" w:rsidP="009D5A4F" w14:paraId="23B1BBB3" w14:textId="77777777">
            <w:pPr>
              <w:pStyle w:val="Bodytext2"/>
              <w:rPr>
                <w:lang w:val="en-GB"/>
              </w:rPr>
            </w:pPr>
            <w:r w:rsidRPr="003331BF">
              <w:rPr>
                <w:lang w:val="en-GB"/>
              </w:rPr>
              <w:t>• Buildings 10-40 years</w:t>
            </w:r>
          </w:p>
          <w:p w:rsidR="009D5A4F" w:rsidRPr="003331BF" w:rsidP="009D5A4F" w14:paraId="747A7F8B" w14:textId="77777777">
            <w:pPr>
              <w:pStyle w:val="Bodytext2"/>
              <w:rPr>
                <w:lang w:val="en-GB"/>
              </w:rPr>
            </w:pPr>
            <w:r w:rsidRPr="003331BF">
              <w:rPr>
                <w:lang w:val="en-GB"/>
              </w:rPr>
              <w:t>• Machinery and equipment 5-20 years</w:t>
            </w:r>
          </w:p>
          <w:p w:rsidR="009D5A4F" w:rsidRPr="003331BF" w:rsidP="009D5A4F" w14:paraId="1A7BE3D8" w14:textId="77777777">
            <w:pPr>
              <w:pStyle w:val="Bodytext2"/>
              <w:rPr>
                <w:lang w:val="en-GB"/>
              </w:rPr>
            </w:pPr>
            <w:r w:rsidRPr="003331BF">
              <w:rPr>
                <w:lang w:val="en-GB"/>
              </w:rPr>
              <w:t>• Other tangible assets 3-10 years</w:t>
            </w:r>
          </w:p>
          <w:p w:rsidR="009D5A4F" w:rsidRPr="003331BF" w:rsidP="009D5A4F" w14:paraId="1DE0A21F" w14:textId="77777777">
            <w:pPr>
              <w:pStyle w:val="Bodytext2"/>
              <w:rPr>
                <w:lang w:val="en-GB"/>
              </w:rPr>
            </w:pPr>
          </w:p>
          <w:p w:rsidR="009D5A4F" w:rsidRPr="003331BF" w:rsidP="009D5A4F" w14:paraId="4DB85222" w14:textId="3A6021CE">
            <w:pPr>
              <w:pStyle w:val="Bodytext2"/>
              <w:rPr>
                <w:lang w:val="en-GB"/>
              </w:rPr>
            </w:pPr>
            <w:r w:rsidRPr="003331BF">
              <w:rPr>
                <w:lang w:val="en-GB"/>
              </w:rPr>
              <w:t xml:space="preserve">Depreciation is expensed on a straight-line basis over the estimated useful lives of </w:t>
            </w:r>
            <w:r w:rsidRPr="003331BF">
              <w:rPr>
                <w:lang w:val="en-GB"/>
              </w:rPr>
              <w:t xml:space="preserve">the assets. Land is not depreciated, as its useful life is considered as infinite. The estimated useful lives and the residual values are reviewed at least at the end of each </w:t>
            </w:r>
            <w:r>
              <w:rPr>
                <w:lang w:val="en-GB"/>
              </w:rPr>
              <w:t>reporting</w:t>
            </w:r>
            <w:r w:rsidRPr="003331BF">
              <w:rPr>
                <w:lang w:val="en-GB"/>
              </w:rPr>
              <w:t xml:space="preserve"> period, and if they differ significantly from previous estimates, </w:t>
            </w:r>
            <w:r w:rsidR="005E4FEF">
              <w:rPr>
                <w:lang w:val="en-GB"/>
              </w:rPr>
              <w:t xml:space="preserve">the </w:t>
            </w:r>
            <w:r w:rsidRPr="003331BF">
              <w:rPr>
                <w:lang w:val="en-GB"/>
              </w:rPr>
              <w:t>d</w:t>
            </w:r>
            <w:r w:rsidRPr="003331BF">
              <w:rPr>
                <w:lang w:val="en-GB"/>
              </w:rPr>
              <w:t xml:space="preserve">epreciation periods are adjusted accordingly. Depreciation of property, plant and equipment is </w:t>
            </w:r>
            <w:r w:rsidR="005E4FEF">
              <w:rPr>
                <w:lang w:val="en-GB"/>
              </w:rPr>
              <w:t>discontinue</w:t>
            </w:r>
            <w:r w:rsidRPr="003331BF">
              <w:rPr>
                <w:lang w:val="en-GB"/>
              </w:rPr>
              <w:t>d when an item is classified as held for sale.</w:t>
            </w:r>
          </w:p>
          <w:p w:rsidR="009D5A4F" w:rsidRPr="003331BF" w:rsidP="009D5A4F" w14:paraId="3333B825" w14:textId="77777777">
            <w:pPr>
              <w:pStyle w:val="Bodytext2"/>
              <w:rPr>
                <w:lang w:val="en-GB"/>
              </w:rPr>
            </w:pPr>
          </w:p>
          <w:p w:rsidR="009D5A4F" w:rsidRPr="003331BF" w:rsidP="009D5A4F" w14:paraId="622C3C74" w14:textId="6CF23469">
            <w:pPr>
              <w:pStyle w:val="Bodytext2"/>
              <w:rPr>
                <w:lang w:val="en-GB"/>
              </w:rPr>
            </w:pPr>
            <w:r w:rsidRPr="003331BF">
              <w:rPr>
                <w:lang w:val="en-GB"/>
              </w:rPr>
              <w:t xml:space="preserve">A gain or loss arising from the sale of property, plant and equipment is recognised </w:t>
            </w:r>
            <w:r>
              <w:rPr>
                <w:lang w:val="en-GB"/>
              </w:rPr>
              <w:t>as</w:t>
            </w:r>
            <w:r w:rsidRPr="003331BF">
              <w:rPr>
                <w:lang w:val="en-GB"/>
              </w:rPr>
              <w:t xml:space="preserve"> other operating</w:t>
            </w:r>
            <w:r w:rsidRPr="003331BF">
              <w:rPr>
                <w:lang w:val="en-GB"/>
              </w:rPr>
              <w:t xml:space="preserve"> income or other operating expenses in the statement of income.</w:t>
            </w:r>
          </w:p>
          <w:p w:rsidR="009D5A4F" w:rsidRPr="003331BF" w:rsidP="009D5A4F" w14:paraId="56182640" w14:textId="77777777">
            <w:pPr>
              <w:pStyle w:val="Bodytext2"/>
              <w:rPr>
                <w:lang w:val="en-GB"/>
              </w:rPr>
            </w:pPr>
          </w:p>
          <w:p w:rsidR="009D5A4F" w:rsidRPr="003331BF" w:rsidP="009D5A4F" w14:paraId="7780459B" w14:textId="77777777">
            <w:pPr>
              <w:pStyle w:val="Heading13"/>
              <w:rPr>
                <w:lang w:val="en-GB"/>
              </w:rPr>
            </w:pPr>
            <w:r w:rsidRPr="003331BF">
              <w:rPr>
                <w:lang w:val="en-GB"/>
              </w:rPr>
              <w:t>Impairment of assets</w:t>
            </w:r>
          </w:p>
          <w:p w:rsidR="009D5A4F" w:rsidRPr="003331BF" w:rsidP="009D5A4F" w14:paraId="0EFB3BC7" w14:textId="6C8DBD69">
            <w:pPr>
              <w:pStyle w:val="Bodytext2"/>
              <w:rPr>
                <w:lang w:val="en-GB"/>
              </w:rPr>
            </w:pPr>
            <w:r w:rsidRPr="003331BF">
              <w:rPr>
                <w:lang w:val="en-GB"/>
              </w:rPr>
              <w:t>The carrying amounts of assets are reviewed annually for signs of possible impairment</w:t>
            </w:r>
            <w:r w:rsidR="005E4FEF">
              <w:rPr>
                <w:lang w:val="en-GB"/>
              </w:rPr>
              <w:t>,</w:t>
            </w:r>
            <w:r w:rsidRPr="003331BF">
              <w:rPr>
                <w:lang w:val="en-GB"/>
              </w:rPr>
              <w:t xml:space="preserve"> or more frequently should any indication of impairment arise. If any such indicatio</w:t>
            </w:r>
            <w:r w:rsidRPr="003331BF">
              <w:rPr>
                <w:lang w:val="en-GB"/>
              </w:rPr>
              <w:t>n exists, the recoverable amount of the asset is estimated and compared to the carrying amount of the asset. An impairment loss is reco</w:t>
            </w:r>
            <w:r>
              <w:rPr>
                <w:lang w:val="en-GB"/>
              </w:rPr>
              <w:t xml:space="preserve">gnised </w:t>
            </w:r>
            <w:r w:rsidRPr="003331BF">
              <w:rPr>
                <w:lang w:val="en-GB"/>
              </w:rPr>
              <w:t xml:space="preserve">when the carrying amount of an asset is greater than its recoverable amount. The recoverable amount is the higher </w:t>
            </w:r>
            <w:r w:rsidRPr="003331BF">
              <w:rPr>
                <w:lang w:val="en-GB"/>
              </w:rPr>
              <w:t>of an asset’s fair value less costs to sell and its value in use.</w:t>
            </w:r>
          </w:p>
          <w:p w:rsidR="009D5A4F" w:rsidRPr="003331BF" w:rsidP="009D5A4F" w14:paraId="57310D7E" w14:textId="77777777">
            <w:pPr>
              <w:pStyle w:val="Bodytext2"/>
              <w:rPr>
                <w:lang w:val="en-GB"/>
              </w:rPr>
            </w:pPr>
          </w:p>
          <w:p w:rsidR="009D5A4F" w:rsidP="009D5A4F" w14:paraId="0BD67542" w14:textId="1B54C58B">
            <w:pPr>
              <w:pStyle w:val="Bodytext2"/>
              <w:rPr>
                <w:lang w:val="en-GB"/>
              </w:rPr>
            </w:pPr>
            <w:r w:rsidRPr="003331BF">
              <w:rPr>
                <w:lang w:val="en-GB"/>
              </w:rPr>
              <w:t xml:space="preserve">An impairment loss is recognised immediately </w:t>
            </w:r>
            <w:r w:rsidR="005E4FEF">
              <w:rPr>
                <w:lang w:val="en-GB"/>
              </w:rPr>
              <w:t>as</w:t>
            </w:r>
            <w:r w:rsidRPr="003331BF">
              <w:rPr>
                <w:lang w:val="en-GB"/>
              </w:rPr>
              <w:t xml:space="preserve"> </w:t>
            </w:r>
            <w:r>
              <w:rPr>
                <w:color w:val="0F172B"/>
                <w:szCs w:val="15"/>
                <w:lang w:val="en-GB"/>
              </w:rPr>
              <w:t xml:space="preserve">depreciation, amortisation and impairment </w:t>
            </w:r>
            <w:r w:rsidRPr="003331BF">
              <w:rPr>
                <w:lang w:val="en-GB"/>
              </w:rPr>
              <w:t>in the statement of income. In connection with the recognition of the impairment loss, the useful l</w:t>
            </w:r>
            <w:r w:rsidRPr="003331BF">
              <w:rPr>
                <w:lang w:val="en-GB"/>
              </w:rPr>
              <w:t xml:space="preserve">ife of the depreciable asset is reassessed. An earlier impairment loss recognised for an asset is reversed if the estimates used to determine the recoverable amount change. However, </w:t>
            </w:r>
            <w:r w:rsidR="005E4FEF">
              <w:rPr>
                <w:lang w:val="en-GB"/>
              </w:rPr>
              <w:t xml:space="preserve">any </w:t>
            </w:r>
            <w:r w:rsidRPr="003331BF">
              <w:rPr>
                <w:lang w:val="en-GB"/>
              </w:rPr>
              <w:t>reversal of impairment shall not exceed the asset’s carrying amount le</w:t>
            </w:r>
            <w:r w:rsidRPr="003331BF">
              <w:rPr>
                <w:lang w:val="en-GB"/>
              </w:rPr>
              <w:t>ss impairment loss</w:t>
            </w:r>
            <w:r>
              <w:rPr>
                <w:lang w:val="en-GB"/>
              </w:rPr>
              <w:t>.</w:t>
            </w:r>
          </w:p>
          <w:p w:rsidR="00F80E99" w:rsidP="009D5A4F" w14:paraId="1672C19C" w14:textId="77777777">
            <w:pPr>
              <w:pStyle w:val="Bodytext2"/>
              <w:rPr>
                <w:lang w:val="en-GB"/>
              </w:rPr>
            </w:pPr>
          </w:p>
          <w:p w:rsidR="00F80E99" w:rsidRPr="009E3C51" w:rsidP="00F80E99" w14:paraId="7FB75D4C" w14:textId="6E2D01F2">
            <w:pPr>
              <w:pStyle w:val="Heading13"/>
              <w:rPr>
                <w:rFonts w:eastAsiaTheme="minorHAnsi" w:cstheme="minorBidi"/>
                <w:lang w:val="en-GB" w:eastAsia="en-US"/>
              </w:rPr>
            </w:pPr>
            <w:r w:rsidRPr="009E3C51">
              <w:rPr>
                <w:lang w:val="en-GB"/>
              </w:rPr>
              <w:t>Accounting estimates an</w:t>
            </w:r>
            <w:r>
              <w:rPr>
                <w:lang w:val="en-GB"/>
              </w:rPr>
              <w:t>d</w:t>
            </w:r>
            <w:r w:rsidRPr="009E3C51">
              <w:rPr>
                <w:lang w:val="en-GB"/>
              </w:rPr>
              <w:t xml:space="preserve"> judgement</w:t>
            </w:r>
            <w:r>
              <w:rPr>
                <w:lang w:val="en-GB"/>
              </w:rPr>
              <w:t>s</w:t>
            </w:r>
          </w:p>
          <w:p w:rsidR="00F80E99" w:rsidRPr="003331BF" w:rsidP="00F80E99" w14:paraId="0FDF9090" w14:textId="438AE3B7">
            <w:pPr>
              <w:pStyle w:val="Bodytext2"/>
              <w:rPr>
                <w:lang w:val="en-GB"/>
              </w:rPr>
            </w:pPr>
            <w:r w:rsidRPr="009E3C51">
              <w:rPr>
                <w:lang w:val="en-GB"/>
              </w:rPr>
              <w:t xml:space="preserve">Assessing </w:t>
            </w:r>
            <w:r w:rsidR="005E4FEF">
              <w:rPr>
                <w:lang w:val="en-GB"/>
              </w:rPr>
              <w:t xml:space="preserve">the </w:t>
            </w:r>
            <w:r w:rsidRPr="009E3C51">
              <w:rPr>
                <w:lang w:val="en-GB"/>
              </w:rPr>
              <w:t>probability of expected future economic benefits and useful lives of property, plant and equi</w:t>
            </w:r>
            <w:r>
              <w:rPr>
                <w:lang w:val="en-GB"/>
              </w:rPr>
              <w:t>p</w:t>
            </w:r>
            <w:r w:rsidRPr="009E3C51">
              <w:rPr>
                <w:lang w:val="en-GB"/>
              </w:rPr>
              <w:t>ment require management judgement. The estimated useful lives and residual values are review</w:t>
            </w:r>
            <w:r w:rsidRPr="009E3C51">
              <w:rPr>
                <w:lang w:val="en-GB"/>
              </w:rPr>
              <w:t xml:space="preserve">ed at least at the end of each </w:t>
            </w:r>
            <w:r>
              <w:rPr>
                <w:lang w:val="en-GB"/>
              </w:rPr>
              <w:t>reporting</w:t>
            </w:r>
            <w:r w:rsidRPr="009E3C51">
              <w:rPr>
                <w:lang w:val="en-GB"/>
              </w:rPr>
              <w:t xml:space="preserve"> period, and if they differ significantly from previous estimates, </w:t>
            </w:r>
            <w:r w:rsidR="005E4FEF">
              <w:rPr>
                <w:lang w:val="en-GB"/>
              </w:rPr>
              <w:t xml:space="preserve">the </w:t>
            </w:r>
            <w:r>
              <w:rPr>
                <w:lang w:val="en-GB"/>
              </w:rPr>
              <w:t>depreciation</w:t>
            </w:r>
            <w:r w:rsidRPr="009E3C51">
              <w:rPr>
                <w:lang w:val="en-GB"/>
              </w:rPr>
              <w:t xml:space="preserve"> periods are adjusted accordingly. Also</w:t>
            </w:r>
            <w:r w:rsidR="005E4FEF">
              <w:rPr>
                <w:lang w:val="en-GB"/>
              </w:rPr>
              <w:t>,</w:t>
            </w:r>
            <w:r w:rsidRPr="009E3C51">
              <w:rPr>
                <w:lang w:val="en-GB"/>
              </w:rPr>
              <w:t xml:space="preserve"> assessing any indication of impairment requires management judgement.</w:t>
            </w:r>
          </w:p>
        </w:tc>
      </w:tr>
    </w:tbl>
    <w:p w:rsidR="009D5A4F" w:rsidRPr="009D5A4F" w:rsidP="009D5A4F" w14:paraId="041A4E5D" w14:textId="77777777">
      <w:pPr>
        <w:pStyle w:val="Bodytext2"/>
      </w:pPr>
    </w:p>
    <w:p w:rsidR="009D5A4F" w:rsidRPr="009D5A4F" w:rsidP="003331BF" w14:paraId="003D064D" w14:textId="77777777">
      <w:pPr>
        <w:pStyle w:val="Heading13"/>
      </w:pPr>
      <w:r w:rsidRPr="009D5A4F">
        <w:t>2020</w:t>
      </w:r>
    </w:p>
    <w:p w:rsidR="009D5A4F" w:rsidRPr="009D5A4F" w:rsidP="009D5A4F" w14:paraId="40277A82" w14:textId="77777777">
      <w:pPr>
        <w:pStyle w:val="Bodytext2"/>
      </w:pPr>
    </w:p>
    <w:tbl>
      <w:tblPr>
        <w:tblStyle w:val="TableNormal"/>
        <w:tblCaption w:val="table_ppe_current"/>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Land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water</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Build-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ings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struc-</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tures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Machin-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ery 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equip-</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ment</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Construc-</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tion in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progress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and ad-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vances paid</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tangible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Cost on 1 January 2020</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283</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798</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1,167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Acquisitions and disposals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Reclassifications</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Cost on 31 December 2020</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270</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782</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1,135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depreciation and impairment on 1 January 2020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-179</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-659</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-860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depreciation on decreases and disposals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during the financial period</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Impairments</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Accumulated depreciation and impairment on 31 December 2020</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-176</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-654</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87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-853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 2020</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24</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128</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282</w:t>
            </w:r>
          </w:p>
        </w:tc>
      </w:tr>
    </w:tbl>
    <w:p w:rsidR="009D5A4F" w:rsidRPr="009D5A4F" w:rsidP="009D5A4F" w14:paraId="4E320393" w14:textId="77777777">
      <w:pPr>
        <w:pStyle w:val="Bodytext2"/>
      </w:pPr>
    </w:p>
    <w:p w:rsidR="009D5A4F" w:rsidRPr="009D5A4F" w:rsidP="003331BF" w14:paraId="6FC00CC5" w14:textId="77777777">
      <w:pPr>
        <w:pStyle w:val="Heading13"/>
      </w:pPr>
      <w:r w:rsidRPr="009D5A4F">
        <w:t>2019</w:t>
      </w:r>
    </w:p>
    <w:p w:rsidR="009D5A4F" w:rsidRPr="009D5A4F" w:rsidP="009D5A4F" w14:paraId="35B6D0C3" w14:textId="77777777">
      <w:pPr>
        <w:pStyle w:val="Bodytext2"/>
      </w:pPr>
    </w:p>
    <w:tbl>
      <w:tblPr>
        <w:tblStyle w:val="TableNormal"/>
        <w:tblCaption w:val="table_ppe_previou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25"/>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Land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water</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Build-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ings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struc-</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tures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Machin-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ery 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equip-</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ment</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Construc-</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tion in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progress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and ad-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vances paid</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tangible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Cost on 1 January 2019</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297</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780</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1,171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Transfer to right-of-use assets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Reclassifications</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Cost on 31 December 2019</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283</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798</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1,167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depreciation and impairment on 1 January 2019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-177</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-648</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-847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depreciation on decreases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during the financial period</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Impairments</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Accumulated depreciation and impairment on 31 December 2019</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-179</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-659</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-860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 2019</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104</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139</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307</w:t>
            </w:r>
          </w:p>
        </w:tc>
      </w:tr>
    </w:tbl>
    <w:p/>
    <w:p w:rsidR="0058370B" w:rsidP="0058370B" w14:paraId="3A465F77" w14:textId="77777777">
      <w:pPr>
        <w:pStyle w:val="Heading12"/>
      </w:pPr>
      <w:bookmarkStart w:id="1166" w:name="RG_MARKER_4185"/>
      <w:r>
        <w:t>3.4. LEASES</w:t>
      </w:r>
      <w:bookmarkEnd w:id="1166"/>
    </w:p>
    <w:tbl>
      <w:tblPr>
        <w:tblStyle w:val="TableGrid"/>
        <w:tblW w:w="7371" w:type="dxa"/>
        <w:tblLook w:val="04A0"/>
      </w:tblPr>
      <w:tblGrid>
        <w:gridCol w:w="7371"/>
      </w:tblGrid>
      <w:tr w14:paraId="63264BD7" w14:textId="77777777" w:rsidTr="0058370B">
        <w:tblPrEx>
          <w:tblW w:w="7371" w:type="dxa"/>
          <w:tblLook w:val="04A0"/>
        </w:tblPrEx>
        <w:tc>
          <w:tcPr>
            <w:tcW w:w="7371" w:type="dxa"/>
            <w:tcBorders>
              <w:top w:val="nil"/>
              <w:left w:val="nil"/>
              <w:bottom w:val="nil"/>
              <w:right w:val="nil"/>
            </w:tcBorders>
            <w:shd w:val="clear" w:color="auto" w:fill="B6C8D1"/>
          </w:tcPr>
          <w:p w:rsidR="0058370B" w:rsidRPr="000646C2" w:rsidP="0058370B" w14:paraId="38C931EC" w14:textId="77777777">
            <w:pPr>
              <w:pStyle w:val="Heading13"/>
              <w:rPr>
                <w:lang w:val="en-GB"/>
              </w:rPr>
            </w:pPr>
            <w:r w:rsidRPr="000646C2">
              <w:rPr>
                <w:lang w:val="en-GB"/>
              </w:rPr>
              <w:t>Accounting principles</w:t>
            </w:r>
          </w:p>
          <w:p w:rsidR="0058370B" w:rsidRPr="000646C2" w:rsidP="0058370B" w14:paraId="198CEE79" w14:textId="462B18FF">
            <w:pPr>
              <w:pStyle w:val="Bodytext2"/>
              <w:rPr>
                <w:lang w:val="en-GB"/>
              </w:rPr>
            </w:pPr>
            <w:r w:rsidRPr="000646C2">
              <w:rPr>
                <w:lang w:val="en-GB"/>
              </w:rPr>
              <w:t>The Group's capitalised lease agreements consist mainly of office premises, vehicles</w:t>
            </w:r>
            <w:r>
              <w:rPr>
                <w:lang w:val="en-GB"/>
              </w:rPr>
              <w:t>,</w:t>
            </w:r>
            <w:r w:rsidRPr="000646C2">
              <w:rPr>
                <w:lang w:val="en-GB"/>
              </w:rPr>
              <w:t xml:space="preserve"> and production machinery and equipment. The average lease period for buildings is approximately eight years, and for machinery and equipment approximately four years. The Group recognises a right-of-use (ROU) asset and a lease liability at the commencemen</w:t>
            </w:r>
            <w:r w:rsidRPr="000646C2">
              <w:rPr>
                <w:lang w:val="en-GB"/>
              </w:rPr>
              <w:t>t of the lease. Whether a contract contains a lease is determined based on whether Wärtsilä has the right to control the use of an identified asset for a period of time.</w:t>
            </w:r>
          </w:p>
          <w:p w:rsidR="0058370B" w:rsidRPr="000646C2" w:rsidP="0058370B" w14:paraId="4EA5533A" w14:textId="77777777">
            <w:pPr>
              <w:pStyle w:val="Bodytext2"/>
              <w:rPr>
                <w:lang w:val="en-GB"/>
              </w:rPr>
            </w:pPr>
          </w:p>
          <w:p w:rsidR="0058370B" w:rsidRPr="000646C2" w:rsidP="0058370B" w14:paraId="3776A58C" w14:textId="77710175">
            <w:pPr>
              <w:pStyle w:val="Bodytext2"/>
              <w:rPr>
                <w:lang w:val="en-GB"/>
              </w:rPr>
            </w:pPr>
            <w:r w:rsidRPr="000646C2">
              <w:rPr>
                <w:lang w:val="en-GB"/>
              </w:rPr>
              <w:t>At the commencement date, a right-of-use asset as defined by IFRS 16 is measured at c</w:t>
            </w:r>
            <w:r w:rsidRPr="000646C2">
              <w:rPr>
                <w:lang w:val="en-GB"/>
              </w:rPr>
              <w:t>ost. The cost of the right-of-use asset shall comprise the amount of the initial measurement of the lease liability, any lease payments made at or before the commencement date (less any lease incentives received), any initial direct costs incurred by the l</w:t>
            </w:r>
            <w:r w:rsidRPr="000646C2">
              <w:rPr>
                <w:lang w:val="en-GB"/>
              </w:rPr>
              <w:t>essee and an estimate of costs to be incurred by the lessee in dismantling and removing the underlying asset, restoring the site on which it is located or restoring the underlying asset to the condition required by the terms and conditions of the lease, un</w:t>
            </w:r>
            <w:r w:rsidRPr="000646C2">
              <w:rPr>
                <w:lang w:val="en-GB"/>
              </w:rPr>
              <w:t>less those costs are incurred to produce inventories.</w:t>
            </w:r>
          </w:p>
          <w:p w:rsidR="0058370B" w:rsidRPr="000646C2" w:rsidP="0058370B" w14:paraId="5DB9BEA7" w14:textId="77777777">
            <w:pPr>
              <w:pStyle w:val="Bodytext2"/>
              <w:rPr>
                <w:lang w:val="en-GB"/>
              </w:rPr>
            </w:pPr>
          </w:p>
          <w:p w:rsidR="0058370B" w:rsidRPr="000646C2" w:rsidP="0058370B" w14:paraId="39D401DB" w14:textId="093494EA">
            <w:pPr>
              <w:pStyle w:val="Bodytext2"/>
              <w:rPr>
                <w:lang w:val="en-GB"/>
              </w:rPr>
            </w:pPr>
            <w:r w:rsidRPr="000646C2">
              <w:rPr>
                <w:lang w:val="en-GB"/>
              </w:rPr>
              <w:t>The nominal lease liability is initially measured at the present value of the lease payments over the lease term. The lease payments include fixed payments, amounts to be expected to be paid under resi</w:t>
            </w:r>
            <w:r w:rsidRPr="000646C2">
              <w:rPr>
                <w:lang w:val="en-GB"/>
              </w:rPr>
              <w:t>dual value guarantees, the exercise price of reasonably certain extension options, and payments of penalties for terminating a lease in case this reflects the lease term. The lease payments are discounted using the interest rate implicit in the lease</w:t>
            </w:r>
            <w:r>
              <w:rPr>
                <w:lang w:val="en-GB"/>
              </w:rPr>
              <w:t>,</w:t>
            </w:r>
            <w:r w:rsidRPr="000646C2">
              <w:rPr>
                <w:lang w:val="en-GB"/>
              </w:rPr>
              <w:t xml:space="preserve"> if th</w:t>
            </w:r>
            <w:r w:rsidRPr="000646C2">
              <w:rPr>
                <w:lang w:val="en-GB"/>
              </w:rPr>
              <w:t>is rate can be readily determined. Otherwise</w:t>
            </w:r>
            <w:r>
              <w:rPr>
                <w:lang w:val="en-GB"/>
              </w:rPr>
              <w:t>,</w:t>
            </w:r>
            <w:r w:rsidRPr="000646C2">
              <w:rPr>
                <w:lang w:val="en-GB"/>
              </w:rPr>
              <w:t xml:space="preserve"> the lessee´s incremental borrowing rate is used. The incremental borrowing rates used are the sum of relevant interbank rates and </w:t>
            </w:r>
            <w:r>
              <w:rPr>
                <w:lang w:val="en-GB"/>
              </w:rPr>
              <w:t xml:space="preserve">the </w:t>
            </w:r>
            <w:r w:rsidRPr="000646C2">
              <w:rPr>
                <w:lang w:val="en-GB"/>
              </w:rPr>
              <w:t xml:space="preserve">average margin of </w:t>
            </w:r>
            <w:r>
              <w:rPr>
                <w:lang w:val="en-GB"/>
              </w:rPr>
              <w:t xml:space="preserve">the </w:t>
            </w:r>
            <w:r w:rsidR="00DE5F5C">
              <w:rPr>
                <w:lang w:val="en-GB"/>
              </w:rPr>
              <w:t>G</w:t>
            </w:r>
            <w:r w:rsidRPr="000646C2">
              <w:rPr>
                <w:lang w:val="en-GB"/>
              </w:rPr>
              <w:t>roup loan portfolio</w:t>
            </w:r>
            <w:r>
              <w:rPr>
                <w:lang w:val="en-GB"/>
              </w:rPr>
              <w:t>,</w:t>
            </w:r>
            <w:r w:rsidR="00772612">
              <w:rPr>
                <w:lang w:val="en-GB"/>
              </w:rPr>
              <w:t xml:space="preserve"> </w:t>
            </w:r>
            <w:r w:rsidRPr="000646C2">
              <w:rPr>
                <w:lang w:val="en-GB"/>
              </w:rPr>
              <w:t>and</w:t>
            </w:r>
            <w:r w:rsidR="000F74F1">
              <w:rPr>
                <w:lang w:val="en-GB"/>
              </w:rPr>
              <w:t xml:space="preserve"> </w:t>
            </w:r>
            <w:r w:rsidRPr="000646C2">
              <w:rPr>
                <w:lang w:val="en-GB"/>
              </w:rPr>
              <w:t>are currency specific.</w:t>
            </w:r>
          </w:p>
          <w:p w:rsidR="0058370B" w:rsidRPr="000646C2" w:rsidP="0058370B" w14:paraId="15580BB3" w14:textId="77777777">
            <w:pPr>
              <w:pStyle w:val="Bodytext2"/>
              <w:rPr>
                <w:lang w:val="en-GB"/>
              </w:rPr>
            </w:pPr>
          </w:p>
          <w:p w:rsidR="0058370B" w:rsidRPr="000646C2" w:rsidP="0058370B" w14:paraId="6DC57D09" w14:textId="5EE8647F">
            <w:pPr>
              <w:pStyle w:val="Bodytext2"/>
              <w:rPr>
                <w:lang w:val="en-GB"/>
              </w:rPr>
            </w:pPr>
            <w:r w:rsidRPr="000646C2">
              <w:rPr>
                <w:lang w:val="en-GB"/>
              </w:rPr>
              <w:t>The i</w:t>
            </w:r>
            <w:r w:rsidRPr="000646C2">
              <w:rPr>
                <w:lang w:val="en-GB"/>
              </w:rPr>
              <w:t>nitial measurement of the lease payments does not include possible variable elements. Variable lease payments not included in the initial measurement of the lease liability are recognised directly in the statement of income</w:t>
            </w:r>
            <w:r>
              <w:rPr>
                <w:lang w:val="en-GB"/>
              </w:rPr>
              <w:t xml:space="preserve"> as other operating expenses</w:t>
            </w:r>
            <w:r w:rsidRPr="000646C2">
              <w:rPr>
                <w:lang w:val="en-GB"/>
              </w:rPr>
              <w:t>.</w:t>
            </w:r>
          </w:p>
          <w:p w:rsidR="0058370B" w:rsidRPr="000646C2" w:rsidP="0058370B" w14:paraId="4C5AA626" w14:textId="77777777">
            <w:pPr>
              <w:pStyle w:val="Bodytext2"/>
              <w:rPr>
                <w:lang w:val="en-GB"/>
              </w:rPr>
            </w:pPr>
          </w:p>
          <w:p w:rsidR="0058370B" w:rsidRPr="000646C2" w:rsidP="0058370B" w14:paraId="4CA4DE97" w14:textId="4F0D75C4">
            <w:pPr>
              <w:pStyle w:val="Bodytext2"/>
              <w:rPr>
                <w:lang w:val="en-GB"/>
              </w:rPr>
            </w:pPr>
            <w:r w:rsidRPr="00770E27">
              <w:rPr>
                <w:lang w:val="en-GB"/>
              </w:rPr>
              <w:t>Th</w:t>
            </w:r>
            <w:r w:rsidRPr="00770E27">
              <w:rPr>
                <w:lang w:val="en-GB"/>
              </w:rPr>
              <w:t>e lease term is the non-cancellable period of the lease plus</w:t>
            </w:r>
            <w:r>
              <w:rPr>
                <w:lang w:val="en-GB"/>
              </w:rPr>
              <w:t xml:space="preserve"> the</w:t>
            </w:r>
            <w:r w:rsidRPr="00770E27">
              <w:rPr>
                <w:lang w:val="en-GB"/>
              </w:rPr>
              <w:t xml:space="preserve"> period covered by an option to extend or</w:t>
            </w:r>
            <w:r>
              <w:rPr>
                <w:lang w:val="en-GB"/>
              </w:rPr>
              <w:t xml:space="preserve"> </w:t>
            </w:r>
            <w:r w:rsidRPr="00770E27">
              <w:rPr>
                <w:lang w:val="en-GB"/>
              </w:rPr>
              <w:t>terminate if the lessee is reasonably certain to exercise the option.</w:t>
            </w:r>
          </w:p>
          <w:p w:rsidR="0058370B" w:rsidRPr="000646C2" w:rsidP="0058370B" w14:paraId="6BFC1813" w14:textId="77777777">
            <w:pPr>
              <w:pStyle w:val="Bodytext2"/>
              <w:rPr>
                <w:lang w:val="en-GB"/>
              </w:rPr>
            </w:pPr>
          </w:p>
          <w:p w:rsidR="0058370B" w:rsidRPr="000646C2" w:rsidP="0058370B" w14:paraId="41348D35" w14:textId="2819E6EE">
            <w:pPr>
              <w:pStyle w:val="Bodytext2"/>
              <w:rPr>
                <w:lang w:val="en-GB"/>
              </w:rPr>
            </w:pPr>
            <w:r w:rsidRPr="000646C2">
              <w:rPr>
                <w:lang w:val="en-GB"/>
              </w:rPr>
              <w:t xml:space="preserve">Subsequently, the right-of-use assets are measured at initial measurement less </w:t>
            </w:r>
            <w:r w:rsidRPr="000646C2">
              <w:rPr>
                <w:lang w:val="en-GB"/>
              </w:rPr>
              <w:t xml:space="preserve">accumulated depreciation and impairment losses. The right-of-use assets are depreciated and interest on lease liabilities recognised </w:t>
            </w:r>
            <w:r>
              <w:rPr>
                <w:lang w:val="en-GB"/>
              </w:rPr>
              <w:t xml:space="preserve">in interest expenses </w:t>
            </w:r>
            <w:r w:rsidRPr="000646C2">
              <w:rPr>
                <w:lang w:val="en-GB"/>
              </w:rPr>
              <w:t>in the statement of income over the lease term. The lease liabilities are subsequently measured at ini</w:t>
            </w:r>
            <w:r w:rsidRPr="000646C2">
              <w:rPr>
                <w:lang w:val="en-GB"/>
              </w:rPr>
              <w:t>tial recognition less occurring lease payments that are allocated to the principal.</w:t>
            </w:r>
          </w:p>
          <w:p w:rsidR="0058370B" w:rsidRPr="000646C2" w:rsidP="0058370B" w14:paraId="181A1148" w14:textId="77777777">
            <w:pPr>
              <w:pStyle w:val="Bodytext2"/>
              <w:rPr>
                <w:lang w:val="en-GB"/>
              </w:rPr>
            </w:pPr>
          </w:p>
          <w:p w:rsidR="0058370B" w:rsidRPr="000646C2" w:rsidP="0058370B" w14:paraId="3B15C7A1" w14:textId="0B1D5A8A">
            <w:pPr>
              <w:pStyle w:val="Bodytext2"/>
              <w:rPr>
                <w:lang w:val="en-GB"/>
              </w:rPr>
            </w:pPr>
            <w:r w:rsidRPr="000646C2">
              <w:rPr>
                <w:lang w:val="en-GB"/>
              </w:rPr>
              <w:t>Lease payments are presented as repayments of liabilities and related interest expenses. The lease payments are presented in the cash flow from financing activities</w:t>
            </w:r>
            <w:r>
              <w:rPr>
                <w:lang w:val="en-GB"/>
              </w:rPr>
              <w:t>,</w:t>
            </w:r>
            <w:r w:rsidRPr="000646C2">
              <w:rPr>
                <w:lang w:val="en-GB"/>
              </w:rPr>
              <w:t xml:space="preserve"> and t</w:t>
            </w:r>
            <w:r w:rsidRPr="000646C2">
              <w:rPr>
                <w:lang w:val="en-GB"/>
              </w:rPr>
              <w:t>he interest related to leases are presented in the cash flow from operating activities. Lease payments related to short-term leases, low-value assets</w:t>
            </w:r>
            <w:r>
              <w:rPr>
                <w:lang w:val="en-GB"/>
              </w:rPr>
              <w:t>,</w:t>
            </w:r>
            <w:r w:rsidRPr="000646C2">
              <w:rPr>
                <w:lang w:val="en-GB"/>
              </w:rPr>
              <w:t xml:space="preserve"> and variable payments are presented in the cash flow from operating activities.</w:t>
            </w:r>
          </w:p>
          <w:p w:rsidR="0058370B" w:rsidRPr="000646C2" w:rsidP="0058370B" w14:paraId="4D984879" w14:textId="77777777">
            <w:pPr>
              <w:pStyle w:val="Bodytext2"/>
              <w:rPr>
                <w:lang w:val="en-GB"/>
              </w:rPr>
            </w:pPr>
          </w:p>
          <w:p w:rsidR="0058370B" w:rsidRPr="000646C2" w:rsidP="0058370B" w14:paraId="662133C1" w14:textId="77777777">
            <w:pPr>
              <w:pStyle w:val="Bodytext2"/>
              <w:rPr>
                <w:lang w:val="en-GB"/>
              </w:rPr>
            </w:pPr>
            <w:r w:rsidRPr="000646C2">
              <w:rPr>
                <w:lang w:val="en-GB"/>
              </w:rPr>
              <w:t>Contracts may combine di</w:t>
            </w:r>
            <w:r w:rsidRPr="000646C2">
              <w:rPr>
                <w:lang w:val="en-GB"/>
              </w:rPr>
              <w:t xml:space="preserve">fferent kinds of obligations to the supplier, which might be a combination of lease components or a combination of lease and non-lease components. These lease and non-lease components are accounted for separately and the consideration is allocated between </w:t>
            </w:r>
            <w:r w:rsidRPr="000646C2">
              <w:rPr>
                <w:lang w:val="en-GB"/>
              </w:rPr>
              <w:t>the components based on relative stand-alone selling prices.</w:t>
            </w:r>
          </w:p>
          <w:p w:rsidR="0058370B" w:rsidRPr="000646C2" w:rsidP="0058370B" w14:paraId="22CB5F3D" w14:textId="77777777">
            <w:pPr>
              <w:pStyle w:val="Bodytext2"/>
              <w:rPr>
                <w:lang w:val="en-GB"/>
              </w:rPr>
            </w:pPr>
          </w:p>
          <w:p w:rsidR="0058370B" w:rsidRPr="00770E27" w:rsidP="0058370B" w14:paraId="6F115EC1" w14:textId="19987257">
            <w:pPr>
              <w:pStyle w:val="Bodytext2"/>
              <w:rPr>
                <w:lang w:val="en-GB"/>
              </w:rPr>
            </w:pPr>
            <w:r w:rsidRPr="00770E27">
              <w:rPr>
                <w:lang w:val="en-GB"/>
              </w:rPr>
              <w:t xml:space="preserve">The lease and non-lease components are separated. </w:t>
            </w:r>
            <w:r>
              <w:rPr>
                <w:lang w:val="en-GB"/>
              </w:rPr>
              <w:t>Should</w:t>
            </w:r>
            <w:r w:rsidRPr="00770E27">
              <w:rPr>
                <w:lang w:val="en-GB"/>
              </w:rPr>
              <w:t xml:space="preserve"> separating the components</w:t>
            </w:r>
            <w:r>
              <w:rPr>
                <w:lang w:val="en-GB"/>
              </w:rPr>
              <w:t xml:space="preserve"> not be</w:t>
            </w:r>
            <w:r w:rsidRPr="00770E27">
              <w:rPr>
                <w:lang w:val="en-GB"/>
              </w:rPr>
              <w:t xml:space="preserve"> possible, judgement is used to allocate the non-lease component in the accounting. The selection of sepa</w:t>
            </w:r>
            <w:r w:rsidRPr="00770E27">
              <w:rPr>
                <w:lang w:val="en-GB"/>
              </w:rPr>
              <w:t>rating the non-lease component</w:t>
            </w:r>
            <w:r>
              <w:rPr>
                <w:lang w:val="en-GB"/>
              </w:rPr>
              <w:t xml:space="preserve"> or not</w:t>
            </w:r>
            <w:r w:rsidRPr="00770E27">
              <w:rPr>
                <w:lang w:val="en-GB"/>
              </w:rPr>
              <w:t xml:space="preserve"> from </w:t>
            </w:r>
            <w:r>
              <w:rPr>
                <w:lang w:val="en-GB"/>
              </w:rPr>
              <w:t xml:space="preserve">the </w:t>
            </w:r>
            <w:r w:rsidRPr="00770E27">
              <w:rPr>
                <w:lang w:val="en-GB"/>
              </w:rPr>
              <w:t>lease</w:t>
            </w:r>
            <w:r>
              <w:rPr>
                <w:lang w:val="en-GB"/>
              </w:rPr>
              <w:t>,</w:t>
            </w:r>
            <w:r w:rsidRPr="00770E27">
              <w:rPr>
                <w:lang w:val="en-GB"/>
              </w:rPr>
              <w:t xml:space="preserve"> is applied to the whole asset class, buildings</w:t>
            </w:r>
            <w:r>
              <w:rPr>
                <w:lang w:val="en-GB"/>
              </w:rPr>
              <w:t>,</w:t>
            </w:r>
            <w:r w:rsidRPr="00770E27">
              <w:rPr>
                <w:lang w:val="en-GB"/>
              </w:rPr>
              <w:t xml:space="preserve"> and machinery and equipment.</w:t>
            </w:r>
          </w:p>
          <w:p w:rsidR="0058370B" w:rsidRPr="00770E27" w:rsidP="0058370B" w14:paraId="086D09C7" w14:textId="77777777">
            <w:pPr>
              <w:pStyle w:val="Bodytext2"/>
              <w:rPr>
                <w:lang w:val="en-GB"/>
              </w:rPr>
            </w:pPr>
          </w:p>
          <w:p w:rsidR="0058370B" w:rsidRPr="00770E27" w:rsidP="0058370B" w14:paraId="5A1CCDEA" w14:textId="1570B5CE">
            <w:pPr>
              <w:pStyle w:val="Bodytext2"/>
              <w:rPr>
                <w:lang w:val="en-GB"/>
              </w:rPr>
            </w:pPr>
            <w:r w:rsidRPr="00770E27">
              <w:rPr>
                <w:lang w:val="en-GB"/>
              </w:rPr>
              <w:t>Modifications to lease agreements may result in adjustments to existing right-of-use assets and lease liabilities. A gain or</w:t>
            </w:r>
            <w:r w:rsidRPr="00770E27">
              <w:rPr>
                <w:lang w:val="en-GB"/>
              </w:rPr>
              <w:t xml:space="preserve"> loss arising from a modification </w:t>
            </w:r>
            <w:r>
              <w:rPr>
                <w:lang w:val="en-GB"/>
              </w:rPr>
              <w:t>or</w:t>
            </w:r>
            <w:r w:rsidRPr="00770E27">
              <w:rPr>
                <w:lang w:val="en-GB"/>
              </w:rPr>
              <w:t xml:space="preserve"> a termination of a lease agreement is recognised </w:t>
            </w:r>
            <w:r>
              <w:rPr>
                <w:lang w:val="en-GB"/>
              </w:rPr>
              <w:t>as</w:t>
            </w:r>
            <w:r w:rsidRPr="00770E27">
              <w:rPr>
                <w:lang w:val="en-GB"/>
              </w:rPr>
              <w:t xml:space="preserve"> other operating income or other operating expenses in the statement of income.</w:t>
            </w:r>
          </w:p>
          <w:p w:rsidR="0058370B" w:rsidRPr="00770E27" w:rsidP="0058370B" w14:paraId="1E1473CF" w14:textId="77777777">
            <w:pPr>
              <w:pStyle w:val="Bodytext2"/>
              <w:rPr>
                <w:lang w:val="en-GB"/>
              </w:rPr>
            </w:pPr>
          </w:p>
          <w:p w:rsidR="0058370B" w:rsidRPr="00770E27" w:rsidP="0058370B" w14:paraId="11AB91F6" w14:textId="77777777">
            <w:pPr>
              <w:pStyle w:val="Bodytext2"/>
              <w:rPr>
                <w:lang w:val="en-GB"/>
              </w:rPr>
            </w:pPr>
            <w:r w:rsidRPr="00770E27">
              <w:rPr>
                <w:lang w:val="en-GB"/>
              </w:rPr>
              <w:t>The Group applies the two available exemptions, which relate to either short-term contr</w:t>
            </w:r>
            <w:r w:rsidRPr="00770E27">
              <w:rPr>
                <w:lang w:val="en-GB"/>
              </w:rPr>
              <w:t>acts, in which the lease term is less than 12 months, or low-value assets, which are expensed to other operating expenses.</w:t>
            </w:r>
          </w:p>
          <w:p w:rsidR="0058370B" w:rsidRPr="00770E27" w:rsidP="0058370B" w14:paraId="7E0B41F6" w14:textId="77777777">
            <w:pPr>
              <w:pStyle w:val="Bodytext2"/>
              <w:rPr>
                <w:lang w:val="en-GB"/>
              </w:rPr>
            </w:pPr>
          </w:p>
          <w:p w:rsidR="0058370B" w:rsidRPr="00770E27" w:rsidP="0058370B" w14:paraId="10EE7208" w14:textId="77777777">
            <w:pPr>
              <w:pStyle w:val="Heading13"/>
              <w:rPr>
                <w:lang w:val="en-GB"/>
              </w:rPr>
            </w:pPr>
            <w:r w:rsidRPr="00770E27">
              <w:rPr>
                <w:lang w:val="en-GB"/>
              </w:rPr>
              <w:t>Accounting estimates and judgements</w:t>
            </w:r>
          </w:p>
          <w:p w:rsidR="0058370B" w:rsidRPr="000646C2" w:rsidP="0058370B" w14:paraId="26995388" w14:textId="3EE90905">
            <w:pPr>
              <w:pStyle w:val="Bodytext2"/>
              <w:rPr>
                <w:lang w:val="en-GB"/>
              </w:rPr>
            </w:pPr>
            <w:r w:rsidRPr="00770E27">
              <w:rPr>
                <w:lang w:val="en-GB"/>
              </w:rPr>
              <w:t xml:space="preserve">Management judgement based on realistic estimates is used when determining the lease term, especially concerning lease agreements </w:t>
            </w:r>
            <w:r>
              <w:rPr>
                <w:lang w:val="en-GB"/>
              </w:rPr>
              <w:t>for</w:t>
            </w:r>
            <w:r w:rsidRPr="00770E27">
              <w:rPr>
                <w:lang w:val="en-GB"/>
              </w:rPr>
              <w:t xml:space="preserve"> buildings containing termination or extension options and lease agreements with</w:t>
            </w:r>
            <w:r>
              <w:rPr>
                <w:lang w:val="en-GB"/>
              </w:rPr>
              <w:t xml:space="preserve"> an</w:t>
            </w:r>
            <w:r w:rsidRPr="00770E27">
              <w:rPr>
                <w:lang w:val="en-GB"/>
              </w:rPr>
              <w:t xml:space="preserve"> indefinite lease term.</w:t>
            </w:r>
            <w:r w:rsidRPr="000646C2">
              <w:rPr>
                <w:lang w:val="en-GB"/>
              </w:rPr>
              <w:t xml:space="preserve"> </w:t>
            </w:r>
          </w:p>
        </w:tc>
      </w:tr>
    </w:tbl>
    <w:p w:rsidR="0058370B" w:rsidP="0058370B" w14:paraId="4F38633A" w14:textId="77777777">
      <w:pPr>
        <w:spacing w:before="48" w:after="0"/>
        <w:rPr>
          <w:rFonts w:ascii="Arial" w:hAnsi="Arial" w:cs="Arial"/>
          <w:b/>
          <w:bCs/>
          <w:color w:val="0F172B"/>
          <w:sz w:val="15"/>
          <w:szCs w:val="15"/>
          <w:lang w:val="en-GB"/>
        </w:rPr>
      </w:pPr>
    </w:p>
    <w:tbl>
      <w:tblPr>
        <w:tblStyle w:val="TableNormal"/>
        <w:tblCaption w:val="table_leases"/>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Land and buildings, right-of-use assets</w:t>
            </w: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Carrying amount on 1 January 2020</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Acquisitions and disposals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and impairment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Decreases and reclassifications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 2020</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151</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Machinery and equipment, right-of-use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Carrying amount on 1 January 2020</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12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2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and impairment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Decreases and reclassifications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 2020</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Lease liabilities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Carrying amount on 1 January 2020</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Acquisitions and disposals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expenses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Payments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adjustments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 2020</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166</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lease liabilities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r>
    </w:tbl>
    <w:p w:rsidR="0058370B" w:rsidP="0058370B" w14:paraId="15B651CE" w14:textId="77777777">
      <w:pPr>
        <w:spacing w:before="48" w:after="0"/>
        <w:rPr>
          <w:rFonts w:ascii="Arial" w:hAnsi="Arial" w:cs="Arial"/>
          <w:sz w:val="15"/>
          <w:szCs w:val="15"/>
          <w:lang w:val="en-GB"/>
        </w:rPr>
      </w:pPr>
    </w:p>
    <w:tbl>
      <w:tblPr>
        <w:tblStyle w:val="TableNormal"/>
        <w:tblCaption w:val="table_leases_2"/>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Amounts recognised in statement of income</w:t>
            </w: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and impairment of right-of-use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expenses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Expense - short-term leases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Expense - leases of low-value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Expense - variable lease payments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bl>
    <w:p/>
    <w:p w:rsidR="00370040" w:rsidP="00370040" w14:paraId="2EA96301" w14:textId="77777777">
      <w:pPr>
        <w:pStyle w:val="Heading12"/>
      </w:pPr>
      <w:bookmarkStart w:id="1167" w:name="RG_MARKER_4184"/>
      <w:r>
        <w:t>3.5. DEPRECIATION, AMORTISATION AND IMPAIRMENT</w:t>
      </w:r>
      <w:bookmarkEnd w:id="1167"/>
    </w:p>
    <w:p w:rsidR="00370040" w:rsidP="00370040" w14:paraId="25883B9A" w14:textId="77777777">
      <w:pPr>
        <w:spacing w:before="48" w:after="0"/>
        <w:rPr>
          <w:rFonts w:ascii="Arial" w:hAnsi="Arial" w:cs="Arial"/>
          <w:sz w:val="15"/>
          <w:szCs w:val="15"/>
          <w:lang w:val="en-GB"/>
        </w:rPr>
      </w:pPr>
    </w:p>
    <w:tbl>
      <w:tblPr>
        <w:tblStyle w:val="TableNormal"/>
        <w:tblCaption w:val="table_depreciation"/>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Development expenses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Purchase price allocation amortisation</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intangible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Buildings and structures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Land and buildings, right-of-use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Machinery and equipment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Machinery and equipment, right-of-use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tangible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Impairment</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180</w:t>
            </w:r>
          </w:p>
        </w:tc>
      </w:tr>
    </w:tbl>
    <w:p w:rsidR="00370040" w:rsidRPr="00AB0EAF" w:rsidP="00370040" w14:paraId="6AD21856" w14:textId="008499FF">
      <w:pPr>
        <w:pStyle w:val="Bodytext2"/>
        <w:rPr>
          <w:color w:val="auto"/>
          <w:sz w:val="2"/>
          <w:szCs w:val="2"/>
        </w:rPr>
      </w:pPr>
      <w:r w:rsidRPr="00273260">
        <w:rPr>
          <w:sz w:val="2"/>
          <w:szCs w:val="2"/>
        </w:rPr>
        <w:br w:type="column"/>
      </w:r>
    </w:p>
    <w:p w:rsidR="00B14CC9" w:rsidRPr="00D3559C" w:rsidP="00370040" w14:textId="39027759">
      <w:pPr>
        <w:rPr>
          <w:sz w:val="2"/>
          <w:szCs w:val="2"/>
          <w:lang w:val="en-US"/>
        </w:rPr>
      </w:pPr>
      <w:r>
        <w:t xml:space="preserve"> </w:t>
      </w:r>
    </w:p>
    <w:p w:rsidR="005245C9" w:rsidP="005245C9" w14:paraId="6904ACC5" w14:textId="77777777">
      <w:pPr>
        <w:pStyle w:val="Heading11"/>
      </w:pPr>
      <w:bookmarkStart w:id="1168" w:name="RG_MARKER_4176"/>
      <w:bookmarkStart w:id="1169" w:name="RG_MARKER_3741"/>
      <w:r>
        <w:t>4. WORKING CAPITAL AND OTHER BALANCE SHEET ITEMS</w:t>
      </w:r>
      <w:bookmarkEnd w:id="1169"/>
      <w:bookmarkEnd w:id="1168"/>
    </w:p>
    <w:p w:rsidR="005245C9" w:rsidP="005245C9" w14:paraId="012D8058" w14:textId="77777777">
      <w:pPr>
        <w:pStyle w:val="Heading12"/>
      </w:pPr>
      <w:r>
        <w:t>4.1. INVENTORIES</w:t>
      </w:r>
    </w:p>
    <w:tbl>
      <w:tblPr>
        <w:tblStyle w:val="TableGrid"/>
        <w:tblW w:w="7371" w:type="dxa"/>
        <w:tblLook w:val="04A0"/>
      </w:tblPr>
      <w:tblGrid>
        <w:gridCol w:w="7371"/>
      </w:tblGrid>
      <w:tr w14:paraId="3165F8B8" w14:textId="77777777" w:rsidTr="005245C9">
        <w:tblPrEx>
          <w:tblW w:w="7371" w:type="dxa"/>
          <w:tblLook w:val="04A0"/>
        </w:tblPrEx>
        <w:tc>
          <w:tcPr>
            <w:tcW w:w="6683" w:type="dxa"/>
            <w:tcBorders>
              <w:top w:val="nil"/>
              <w:left w:val="nil"/>
              <w:bottom w:val="nil"/>
              <w:right w:val="nil"/>
            </w:tcBorders>
            <w:shd w:val="clear" w:color="auto" w:fill="B6C8D1"/>
          </w:tcPr>
          <w:p w:rsidR="005245C9" w:rsidRPr="00927EF6" w:rsidP="005245C9" w14:paraId="49A154E8" w14:textId="77777777">
            <w:pPr>
              <w:pStyle w:val="Heading13"/>
              <w:rPr>
                <w:lang w:val="en-GB"/>
              </w:rPr>
            </w:pPr>
            <w:r w:rsidRPr="00927EF6">
              <w:rPr>
                <w:lang w:val="en-GB"/>
              </w:rPr>
              <w:t>Accounting principles</w:t>
            </w:r>
          </w:p>
          <w:p w:rsidR="005245C9" w:rsidRPr="00927EF6" w:rsidP="005245C9" w14:paraId="4D43372D" w14:textId="3EF161F3">
            <w:pPr>
              <w:pStyle w:val="Bodytext2"/>
              <w:rPr>
                <w:color w:val="0F172B"/>
                <w:lang w:val="en-GB"/>
              </w:rPr>
            </w:pPr>
            <w:r w:rsidRPr="00927EF6">
              <w:rPr>
                <w:color w:val="0F172B"/>
                <w:lang w:val="en-GB"/>
              </w:rPr>
              <w:t xml:space="preserve">Inventories are valued at the lower of cost and net realisable value. Materials and consumables are valued at weighted average cost or at moving average price. Finished products are valued at direct purchasing and manufacturing costs </w:t>
            </w:r>
            <w:r>
              <w:rPr>
                <w:color w:val="0F172B"/>
                <w:lang w:val="en-GB"/>
              </w:rPr>
              <w:t>plus</w:t>
            </w:r>
            <w:r w:rsidRPr="00927EF6">
              <w:rPr>
                <w:color w:val="0F172B"/>
                <w:lang w:val="en-GB"/>
              </w:rPr>
              <w:t xml:space="preserve"> allocated purchas</w:t>
            </w:r>
            <w:r w:rsidRPr="00927EF6">
              <w:rPr>
                <w:color w:val="0F172B"/>
                <w:lang w:val="en-GB"/>
              </w:rPr>
              <w:t>ing and manufacturing overhead costs. Work in progress includes costs for direct labour and material costs</w:t>
            </w:r>
            <w:r>
              <w:rPr>
                <w:color w:val="0F172B"/>
                <w:lang w:val="en-GB"/>
              </w:rPr>
              <w:t>,</w:t>
            </w:r>
            <w:r w:rsidRPr="00927EF6">
              <w:rPr>
                <w:color w:val="0F172B"/>
                <w:lang w:val="en-GB"/>
              </w:rPr>
              <w:t xml:space="preserve"> and allocated overhead costs related to manufacturing and purchasing when control has not yet </w:t>
            </w:r>
            <w:r>
              <w:rPr>
                <w:color w:val="0F172B"/>
                <w:lang w:val="en-GB"/>
              </w:rPr>
              <w:t xml:space="preserve">been </w:t>
            </w:r>
            <w:r w:rsidRPr="00927EF6">
              <w:rPr>
                <w:color w:val="0F172B"/>
                <w:lang w:val="en-GB"/>
              </w:rPr>
              <w:t>transferred to the customer.</w:t>
            </w:r>
          </w:p>
          <w:p w:rsidR="005245C9" w:rsidRPr="00927EF6" w:rsidP="005245C9" w14:paraId="26A8980F" w14:textId="77777777">
            <w:pPr>
              <w:pStyle w:val="Bodytext2"/>
              <w:rPr>
                <w:color w:val="0F172B"/>
                <w:lang w:val="en-GB"/>
              </w:rPr>
            </w:pPr>
          </w:p>
          <w:p w:rsidR="005245C9" w:rsidRPr="00927EF6" w:rsidP="005245C9" w14:paraId="2CDE41B4" w14:textId="77777777">
            <w:pPr>
              <w:pStyle w:val="Heading13"/>
              <w:rPr>
                <w:lang w:val="en-GB"/>
              </w:rPr>
            </w:pPr>
            <w:r w:rsidRPr="00927EF6">
              <w:rPr>
                <w:lang w:val="en-GB"/>
              </w:rPr>
              <w:t>Accounting estimate</w:t>
            </w:r>
            <w:r w:rsidRPr="00927EF6">
              <w:rPr>
                <w:lang w:val="en-GB"/>
              </w:rPr>
              <w:t>s and judgements</w:t>
            </w:r>
          </w:p>
          <w:p w:rsidR="001D0A65" w:rsidRPr="00E07396" w:rsidP="005245C9" w14:paraId="658B7074" w14:textId="3D915AAB">
            <w:pPr>
              <w:pStyle w:val="Bodytext2"/>
              <w:rPr>
                <w:color w:val="0F172B"/>
                <w:lang w:val="en-GB"/>
              </w:rPr>
            </w:pPr>
            <w:r w:rsidRPr="00927EF6">
              <w:rPr>
                <w:color w:val="0F172B"/>
                <w:lang w:val="en-GB"/>
              </w:rPr>
              <w:t>Writing down inventories to net realisable value due</w:t>
            </w:r>
            <w:r w:rsidRPr="00E07396">
              <w:rPr>
                <w:color w:val="0F172B"/>
                <w:lang w:val="en-GB"/>
              </w:rPr>
              <w:t xml:space="preserve"> to obsolete and excess stock, is performed based on the management’s best estimate on the balance sheet date. An</w:t>
            </w:r>
            <w:r>
              <w:rPr>
                <w:color w:val="0F172B"/>
                <w:lang w:val="en-GB"/>
              </w:rPr>
              <w:t xml:space="preserve"> an</w:t>
            </w:r>
            <w:r w:rsidRPr="00E07396">
              <w:rPr>
                <w:color w:val="0F172B"/>
                <w:lang w:val="en-GB"/>
              </w:rPr>
              <w:t>alysis of inventory ag</w:t>
            </w:r>
            <w:r>
              <w:rPr>
                <w:color w:val="0F172B"/>
                <w:lang w:val="en-GB"/>
              </w:rPr>
              <w:t>e</w:t>
            </w:r>
            <w:r w:rsidRPr="00E07396">
              <w:rPr>
                <w:color w:val="0F172B"/>
                <w:lang w:val="en-GB"/>
              </w:rPr>
              <w:t>ing, turn</w:t>
            </w:r>
            <w:r>
              <w:rPr>
                <w:color w:val="0F172B"/>
                <w:lang w:val="en-GB"/>
              </w:rPr>
              <w:t>-</w:t>
            </w:r>
            <w:r w:rsidRPr="00E07396">
              <w:rPr>
                <w:color w:val="0F172B"/>
                <w:lang w:val="en-GB"/>
              </w:rPr>
              <w:t>over</w:t>
            </w:r>
            <w:r>
              <w:rPr>
                <w:color w:val="0F172B"/>
                <w:lang w:val="en-GB"/>
              </w:rPr>
              <w:t>,</w:t>
            </w:r>
            <w:r w:rsidRPr="00E07396">
              <w:rPr>
                <w:color w:val="0F172B"/>
                <w:lang w:val="en-GB"/>
              </w:rPr>
              <w:t xml:space="preserve"> and composition compared to antic</w:t>
            </w:r>
            <w:r w:rsidRPr="00E07396">
              <w:rPr>
                <w:color w:val="0F172B"/>
                <w:lang w:val="en-GB"/>
              </w:rPr>
              <w:t>ipated future use</w:t>
            </w:r>
            <w:r>
              <w:rPr>
                <w:color w:val="0F172B"/>
                <w:lang w:val="en-GB"/>
              </w:rPr>
              <w:t>,</w:t>
            </w:r>
            <w:r w:rsidRPr="00E07396">
              <w:rPr>
                <w:color w:val="0F172B"/>
                <w:lang w:val="en-GB"/>
              </w:rPr>
              <w:t xml:space="preserve"> is the basis for the estimates.</w:t>
            </w:r>
          </w:p>
        </w:tc>
      </w:tr>
    </w:tbl>
    <w:p w:rsidR="005245C9" w:rsidP="005245C9" w14:paraId="300377DF" w14:textId="5F984881">
      <w:pPr>
        <w:pStyle w:val="Bodytext2"/>
        <w:rPr>
          <w:color w:val="0F172B"/>
        </w:rPr>
      </w:pPr>
    </w:p>
    <w:tbl>
      <w:tblPr>
        <w:tblStyle w:val="TableNormal"/>
        <w:tblCaption w:val="table_inventories"/>
        <w:tblDescription w:val="19. Inventories"/>
        <w:tblW w:w="7320" w:type="dxa"/>
        <w:tblLayout w:type="fixed"/>
        <w:tblLook w:val="0600"/>
      </w:tblPr>
      <w:tblGrid>
        <w:gridCol w:w="4830"/>
        <w:gridCol w:w="1245"/>
        <w:gridCol w:w="1245"/>
      </w:tblGrid>
      <w:tr>
        <w:tblPrEx>
          <w:tblW w:w="7320" w:type="dxa"/>
          <w:tblLayout w:type="fixed"/>
          <w:tblLook w:val="0600"/>
        </w:tblPrEx>
        <w:trPr>
          <w:trHeight w:hRule="exact" w:val="240"/>
        </w:trPr>
        <w:tc>
          <w:tcPr>
            <w:tcW w:w="48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Materials and consumables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453</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484</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Work in progress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736</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Finished products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53</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3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Advances paid </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62</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93</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3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1,192</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1,365</w:t>
            </w:r>
          </w:p>
        </w:tc>
      </w:tr>
    </w:tbl>
    <w:p w:rsidR="005245C9" w:rsidP="005245C9" w14:paraId="621531F9" w14:textId="77777777">
      <w:pPr>
        <w:pStyle w:val="Bodytext2"/>
        <w:rPr>
          <w:color w:val="0F172B"/>
        </w:rPr>
      </w:pPr>
    </w:p>
    <w:p w:rsidR="00707F6A" w:rsidP="00707F6A" w14:paraId="465A989C" w14:textId="77777777">
      <w:pPr>
        <w:pStyle w:val="Bodytext2"/>
        <w:rPr>
          <w:color w:val="0F172B"/>
        </w:rPr>
      </w:pPr>
      <w:r>
        <w:rPr>
          <w:color w:val="0F172B"/>
        </w:rPr>
        <w:t xml:space="preserve">In 2020, EUR 24 million (4) impairment for obsolete inventories has been recognised in the consolidated statement of income. The total value of inventories related to assets held </w:t>
      </w:r>
      <w:r>
        <w:rPr>
          <w:color w:val="0F172B"/>
        </w:rPr>
        <w:t>for sale amounts to EUR 23 million (18).</w:t>
      </w:r>
    </w:p>
    <w:p w:rsidR="00707F6A" w:rsidP="00707F6A" w14:paraId="600AF414" w14:textId="77777777">
      <w:pPr>
        <w:pStyle w:val="Bodytext2"/>
        <w:rPr>
          <w:color w:val="0F172B"/>
        </w:rPr>
      </w:pPr>
    </w:p>
    <w:p w:rsidR="005245C9" w:rsidRPr="005036FA" w:rsidP="00707F6A" w14:paraId="220DBD56" w14:textId="6104B00A">
      <w:pPr>
        <w:pStyle w:val="Bodytext2"/>
        <w:rPr>
          <w:color w:val="0F172B"/>
        </w:rPr>
      </w:pPr>
      <w:r w:rsidRPr="00707F6A">
        <w:rPr>
          <w:color w:val="0F172B"/>
        </w:rPr>
        <w:t>Although COVID-19 has impacted spare part sales volumes to some extent, the impact is not so significant that it</w:t>
      </w:r>
      <w:r>
        <w:rPr>
          <w:color w:val="0F172B"/>
        </w:rPr>
        <w:t xml:space="preserve"> </w:t>
      </w:r>
      <w:r w:rsidRPr="00707F6A">
        <w:rPr>
          <w:color w:val="0F172B"/>
        </w:rPr>
        <w:t>would elevate the inherent risk of valuation relating to inventories. Cancellations of orders have be</w:t>
      </w:r>
      <w:r w:rsidRPr="00707F6A">
        <w:rPr>
          <w:color w:val="0F172B"/>
        </w:rPr>
        <w:t>en largely in line</w:t>
      </w:r>
      <w:r>
        <w:rPr>
          <w:color w:val="0F172B"/>
        </w:rPr>
        <w:t xml:space="preserve"> </w:t>
      </w:r>
      <w:r w:rsidRPr="00707F6A">
        <w:rPr>
          <w:color w:val="0F172B"/>
        </w:rPr>
        <w:t xml:space="preserve">with normal levels in Wärtsilä. Also, Wärtsilä safeguards the recoverability of </w:t>
      </w:r>
      <w:r>
        <w:rPr>
          <w:color w:val="0F172B"/>
        </w:rPr>
        <w:t>work in progress</w:t>
      </w:r>
      <w:r w:rsidRPr="00707F6A">
        <w:rPr>
          <w:color w:val="0F172B"/>
        </w:rPr>
        <w:t xml:space="preserve"> with advance payments collected</w:t>
      </w:r>
      <w:r>
        <w:rPr>
          <w:color w:val="0F172B"/>
        </w:rPr>
        <w:t xml:space="preserve"> </w:t>
      </w:r>
      <w:r w:rsidRPr="00707F6A">
        <w:rPr>
          <w:color w:val="0F172B"/>
        </w:rPr>
        <w:t>from customers.</w:t>
      </w:r>
    </w:p>
    <w:p/>
    <w:p w:rsidR="00305DFD" w:rsidP="00305DFD" w14:paraId="362BC54F" w14:textId="77777777">
      <w:pPr>
        <w:pStyle w:val="Heading12"/>
      </w:pPr>
      <w:bookmarkStart w:id="1170" w:name="RG_MARKER_4177"/>
      <w:r>
        <w:t>4.2. TRADE RECEIVABLES AND CONTRACT ASSETS AND LIABILITIES</w:t>
      </w:r>
      <w:bookmarkEnd w:id="1170"/>
    </w:p>
    <w:tbl>
      <w:tblPr>
        <w:tblStyle w:val="TableGrid"/>
        <w:tblW w:w="7371" w:type="dxa"/>
        <w:tblLook w:val="04A0"/>
      </w:tblPr>
      <w:tblGrid>
        <w:gridCol w:w="7371"/>
      </w:tblGrid>
      <w:tr w14:paraId="311EB6DD" w14:textId="77777777" w:rsidTr="00305DFD">
        <w:tblPrEx>
          <w:tblW w:w="7371" w:type="dxa"/>
          <w:tblLook w:val="04A0"/>
        </w:tblPrEx>
        <w:tc>
          <w:tcPr>
            <w:tcW w:w="6683" w:type="dxa"/>
            <w:tcBorders>
              <w:top w:val="nil"/>
              <w:left w:val="nil"/>
              <w:bottom w:val="nil"/>
              <w:right w:val="nil"/>
            </w:tcBorders>
            <w:shd w:val="clear" w:color="auto" w:fill="B6C8D1"/>
          </w:tcPr>
          <w:p w:rsidR="00305DFD" w:rsidRPr="001D18D5" w:rsidP="00305DFD" w14:paraId="483D37CC" w14:textId="77777777">
            <w:pPr>
              <w:pStyle w:val="Heading13"/>
              <w:rPr>
                <w:lang w:val="en-GB"/>
              </w:rPr>
            </w:pPr>
            <w:r w:rsidRPr="001D18D5">
              <w:rPr>
                <w:lang w:val="en-GB"/>
              </w:rPr>
              <w:t>Accounting principles</w:t>
            </w:r>
          </w:p>
          <w:p w:rsidR="00305DFD" w:rsidRPr="001D18D5" w:rsidP="00305DFD" w14:paraId="6F926D9D" w14:textId="696652D1">
            <w:pPr>
              <w:pStyle w:val="Bodytext2"/>
              <w:rPr>
                <w:lang w:val="en-GB"/>
              </w:rPr>
            </w:pPr>
            <w:r w:rsidRPr="001D18D5">
              <w:rPr>
                <w:lang w:val="en-GB"/>
              </w:rPr>
              <w:t>Trade receivables are recognised when the right to consideration becomes unconditional</w:t>
            </w:r>
            <w:r w:rsidRPr="001D18D5">
              <w:rPr>
                <w:lang w:val="en-GB"/>
              </w:rPr>
              <w:t xml:space="preserve">. The Group’s trade receivables are measured at amortised cost, which is the original invoiced amount less an estimated valuation allowance for impairment. The Group assesses </w:t>
            </w:r>
            <w:r>
              <w:rPr>
                <w:lang w:val="en-GB"/>
              </w:rPr>
              <w:t>any</w:t>
            </w:r>
            <w:r w:rsidRPr="001D18D5">
              <w:rPr>
                <w:lang w:val="en-GB"/>
              </w:rPr>
              <w:t xml:space="preserve"> possible increase in the credit risk for financial assets measured at amortis</w:t>
            </w:r>
            <w:r w:rsidRPr="001D18D5">
              <w:rPr>
                <w:lang w:val="en-GB"/>
              </w:rPr>
              <w:t xml:space="preserve">ed cost at the end of each reporting period individually. The methodology applied depends on whether there has been a significant increase in credit risk. </w:t>
            </w:r>
            <w:r>
              <w:rPr>
                <w:lang w:val="en-GB"/>
              </w:rPr>
              <w:t xml:space="preserve">If there has not been a significant increase in credit risk, the </w:t>
            </w:r>
            <w:r w:rsidRPr="001D18D5">
              <w:rPr>
                <w:lang w:val="en-GB"/>
              </w:rPr>
              <w:t>loss allowance is estimated at an am</w:t>
            </w:r>
            <w:r w:rsidRPr="001D18D5">
              <w:rPr>
                <w:lang w:val="en-GB"/>
              </w:rPr>
              <w:t>ount equal to lifetime expected credit losses at the current reporting date.</w:t>
            </w:r>
          </w:p>
          <w:p w:rsidR="00305DFD" w:rsidRPr="001D18D5" w:rsidP="00305DFD" w14:paraId="5F841E70" w14:textId="77777777">
            <w:pPr>
              <w:pStyle w:val="Bodytext2"/>
              <w:rPr>
                <w:lang w:val="en-GB"/>
              </w:rPr>
            </w:pPr>
          </w:p>
          <w:p w:rsidR="00305DFD" w:rsidRPr="001D18D5" w:rsidP="00305DFD" w14:paraId="6A909902" w14:textId="158409B3">
            <w:pPr>
              <w:pStyle w:val="Bodytext2"/>
              <w:rPr>
                <w:lang w:val="en-GB"/>
              </w:rPr>
            </w:pPr>
            <w:r w:rsidRPr="001D18D5">
              <w:rPr>
                <w:lang w:val="en-GB"/>
              </w:rPr>
              <w:t>For trade receivables and contract assets, a simplified approach is used, and the loss allowance is measured at the estimate of the lifetime expected credit losses. The Group use</w:t>
            </w:r>
            <w:r w:rsidRPr="001D18D5">
              <w:rPr>
                <w:lang w:val="en-GB"/>
              </w:rPr>
              <w:t>s a provision matrix for estimating the expected credit loss where receivables are segregated depending on the ag</w:t>
            </w:r>
            <w:r>
              <w:rPr>
                <w:lang w:val="en-GB"/>
              </w:rPr>
              <w:t>e</w:t>
            </w:r>
            <w:r w:rsidRPr="001D18D5">
              <w:rPr>
                <w:lang w:val="en-GB"/>
              </w:rPr>
              <w:t xml:space="preserve">ing category and the origin of the receivable. </w:t>
            </w:r>
            <w:r>
              <w:rPr>
                <w:lang w:val="en-GB"/>
              </w:rPr>
              <w:t xml:space="preserve">The </w:t>
            </w:r>
            <w:r w:rsidRPr="001D18D5">
              <w:rPr>
                <w:lang w:val="en-GB"/>
              </w:rPr>
              <w:t xml:space="preserve">Group has </w:t>
            </w:r>
            <w:r>
              <w:rPr>
                <w:lang w:val="en-GB"/>
              </w:rPr>
              <w:t xml:space="preserve">an </w:t>
            </w:r>
            <w:r w:rsidRPr="001D18D5">
              <w:rPr>
                <w:lang w:val="en-GB"/>
              </w:rPr>
              <w:t>effective collection process in place which decreases the possible risk of cre</w:t>
            </w:r>
            <w:r w:rsidRPr="001D18D5">
              <w:rPr>
                <w:lang w:val="en-GB"/>
              </w:rPr>
              <w:t>dit losses. Also, to mitigate the credit risk, advance payments and payment guarantees are in use. In calculating the expected credit loss rates, the Group considers historical loss rates for each category, and adjusts for forward looking macroeconomic dat</w:t>
            </w:r>
            <w:r w:rsidRPr="001D18D5">
              <w:rPr>
                <w:lang w:val="en-GB"/>
              </w:rPr>
              <w:t>a. Based on the analysis, for trade receivables not due</w:t>
            </w:r>
            <w:r>
              <w:rPr>
                <w:lang w:val="en-GB"/>
              </w:rPr>
              <w:t>,</w:t>
            </w:r>
            <w:r w:rsidRPr="001D18D5">
              <w:rPr>
                <w:lang w:val="en-GB"/>
              </w:rPr>
              <w:t xml:space="preserve"> or </w:t>
            </w:r>
            <w:r>
              <w:rPr>
                <w:lang w:val="en-GB"/>
              </w:rPr>
              <w:t xml:space="preserve">a </w:t>
            </w:r>
            <w:r w:rsidRPr="001D18D5">
              <w:rPr>
                <w:lang w:val="en-GB"/>
              </w:rPr>
              <w:t>maximum</w:t>
            </w:r>
            <w:r>
              <w:rPr>
                <w:lang w:val="en-GB"/>
              </w:rPr>
              <w:t xml:space="preserve"> of</w:t>
            </w:r>
            <w:r w:rsidRPr="001D18D5">
              <w:rPr>
                <w:lang w:val="en-GB"/>
              </w:rPr>
              <w:t xml:space="preserve"> 359 days overdue, an impairment of 0.1%-2.0% is made. In addition to that, trade receivables more than 360 days old are assessed </w:t>
            </w:r>
            <w:r>
              <w:rPr>
                <w:lang w:val="en-GB"/>
              </w:rPr>
              <w:t xml:space="preserve">individually </w:t>
            </w:r>
            <w:r w:rsidRPr="001D18D5">
              <w:rPr>
                <w:lang w:val="en-GB"/>
              </w:rPr>
              <w:t>for impairment. Examples of events giving</w:t>
            </w:r>
            <w:r w:rsidRPr="001D18D5">
              <w:rPr>
                <w:lang w:val="en-GB"/>
              </w:rPr>
              <w:t xml:space="preserve"> rise to impairment include a debtor’s serious financial problems, and a debtor’s probable bankruptcy or other financial arrangement.</w:t>
            </w:r>
          </w:p>
          <w:p w:rsidR="00305DFD" w:rsidRPr="001D18D5" w:rsidP="00305DFD" w14:paraId="484AD843" w14:textId="77777777">
            <w:pPr>
              <w:pStyle w:val="Bodytext2"/>
              <w:rPr>
                <w:lang w:val="en-GB"/>
              </w:rPr>
            </w:pPr>
          </w:p>
          <w:p w:rsidR="00305DFD" w:rsidRPr="001D18D5" w:rsidP="00305DFD" w14:paraId="7A5769D0" w14:textId="7D943403">
            <w:pPr>
              <w:pStyle w:val="Bodytext2"/>
              <w:rPr>
                <w:lang w:val="en-GB"/>
              </w:rPr>
            </w:pPr>
            <w:r w:rsidRPr="001D18D5">
              <w:rPr>
                <w:lang w:val="en-GB"/>
              </w:rPr>
              <w:t>Trade receivables are permanently written off when there is no reasonable expectation of recovery.</w:t>
            </w:r>
          </w:p>
          <w:p w:rsidR="00305DFD" w:rsidRPr="001D18D5" w:rsidP="00305DFD" w14:paraId="06834AD9" w14:textId="77777777">
            <w:pPr>
              <w:pStyle w:val="Bodytext2"/>
              <w:rPr>
                <w:lang w:val="en-GB"/>
              </w:rPr>
            </w:pPr>
          </w:p>
          <w:p w:rsidR="00305DFD" w:rsidRPr="001D18D5" w:rsidP="00305DFD" w14:paraId="75DB2B17" w14:textId="25CB19B8">
            <w:pPr>
              <w:pStyle w:val="Bodytext2"/>
              <w:rPr>
                <w:lang w:val="en-GB"/>
              </w:rPr>
            </w:pPr>
            <w:r w:rsidRPr="001D18D5">
              <w:rPr>
                <w:lang w:val="en-GB"/>
              </w:rPr>
              <w:t>The Group may sell un</w:t>
            </w:r>
            <w:r w:rsidRPr="001D18D5">
              <w:rPr>
                <w:lang w:val="en-GB"/>
              </w:rPr>
              <w:t>divided interests in trade receivables on an ongoing and one-time basis to lending institutions. Financial assets sold under these arrangements are excluded from trade receivables in the statement of financial position at the time of payment from the acqui</w:t>
            </w:r>
            <w:r w:rsidRPr="001D18D5">
              <w:rPr>
                <w:lang w:val="en-GB"/>
              </w:rPr>
              <w:t xml:space="preserve">rer, </w:t>
            </w:r>
            <w:r>
              <w:rPr>
                <w:lang w:val="en-GB"/>
              </w:rPr>
              <w:t>providing</w:t>
            </w:r>
            <w:r w:rsidRPr="001D18D5">
              <w:rPr>
                <w:lang w:val="en-GB"/>
              </w:rPr>
              <w:t xml:space="preserve"> that substantially all risks and rewards have been transferred. If the acquirer has not settled payment to the extent that the ownership, risk</w:t>
            </w:r>
            <w:r>
              <w:rPr>
                <w:lang w:val="en-GB"/>
              </w:rPr>
              <w:t>,</w:t>
            </w:r>
            <w:r w:rsidRPr="001D18D5">
              <w:rPr>
                <w:lang w:val="en-GB"/>
              </w:rPr>
              <w:t xml:space="preserve"> and control over the receivable have been substantially transferred, then such financial assets s</w:t>
            </w:r>
            <w:r w:rsidRPr="001D18D5">
              <w:rPr>
                <w:lang w:val="en-GB"/>
              </w:rPr>
              <w:t>old are re-recognised in the statement of financial position at the end of the reporting period.</w:t>
            </w:r>
          </w:p>
          <w:p w:rsidR="00305DFD" w:rsidRPr="001D18D5" w:rsidP="00305DFD" w14:paraId="7410FD66" w14:textId="77777777">
            <w:pPr>
              <w:pStyle w:val="Bodytext2"/>
              <w:rPr>
                <w:lang w:val="en-GB"/>
              </w:rPr>
            </w:pPr>
          </w:p>
          <w:p w:rsidR="00305DFD" w:rsidRPr="001D18D5" w:rsidP="00305DFD" w14:paraId="4AD62F8F" w14:textId="75A5E4FA">
            <w:pPr>
              <w:pStyle w:val="Bodytext2"/>
              <w:rPr>
                <w:lang w:val="en-GB"/>
              </w:rPr>
            </w:pPr>
            <w:r w:rsidRPr="001D18D5">
              <w:rPr>
                <w:lang w:val="en-GB"/>
              </w:rPr>
              <w:t>Contract assets and liabilities are related to contracts with customers.</w:t>
            </w:r>
          </w:p>
          <w:p w:rsidR="00305DFD" w:rsidRPr="001D18D5" w:rsidP="00305DFD" w14:paraId="15EB6462" w14:textId="77777777">
            <w:pPr>
              <w:pStyle w:val="Bodytext2"/>
              <w:rPr>
                <w:lang w:val="en-GB"/>
              </w:rPr>
            </w:pPr>
          </w:p>
          <w:p w:rsidR="00305DFD" w:rsidRPr="001D18D5" w:rsidP="00305DFD" w14:paraId="0276B881" w14:textId="39802211">
            <w:pPr>
              <w:pStyle w:val="Bodytext2"/>
              <w:rPr>
                <w:lang w:val="en-GB"/>
              </w:rPr>
            </w:pPr>
            <w:r w:rsidRPr="001D18D5">
              <w:rPr>
                <w:lang w:val="en-GB"/>
              </w:rPr>
              <w:t>When control over goods or services is transferred to a customer before the customer</w:t>
            </w:r>
            <w:r w:rsidRPr="001D18D5">
              <w:rPr>
                <w:lang w:val="en-GB"/>
              </w:rPr>
              <w:t xml:space="preserve"> pays the consideration, the receivable is recognised as a contract asset. The contract asset represents the right to future consideration. Contract assets primarily relate to the Group’s right to consideration for transferred goods or services, but which </w:t>
            </w:r>
            <w:r w:rsidRPr="001D18D5">
              <w:rPr>
                <w:lang w:val="en-GB"/>
              </w:rPr>
              <w:t xml:space="preserve">is not yet billed </w:t>
            </w:r>
            <w:r w:rsidRPr="001D18D5" w:rsidR="00137ABB">
              <w:rPr>
                <w:lang w:val="en-GB"/>
              </w:rPr>
              <w:t>at</w:t>
            </w:r>
            <w:r w:rsidRPr="001D18D5">
              <w:rPr>
                <w:lang w:val="en-GB"/>
              </w:rPr>
              <w:t xml:space="preserve"> the reporting date. The contract assets are transferred to trade receivables when the rights become unconditional.</w:t>
            </w:r>
          </w:p>
          <w:p w:rsidR="00305DFD" w:rsidRPr="00450C5F" w:rsidP="00305DFD" w14:paraId="1F90E97C" w14:textId="77777777">
            <w:pPr>
              <w:pStyle w:val="Bodytext2"/>
              <w:rPr>
                <w:lang w:val="en-GB"/>
              </w:rPr>
            </w:pPr>
          </w:p>
          <w:p w:rsidR="00305DFD" w:rsidRPr="001D18D5" w:rsidP="00305DFD" w14:paraId="35AC79D9" w14:textId="6A63E06E">
            <w:pPr>
              <w:pStyle w:val="Bodytext2"/>
              <w:rPr>
                <w:lang w:val="en-GB"/>
              </w:rPr>
            </w:pPr>
            <w:r w:rsidRPr="00305DFD">
              <w:rPr>
                <w:lang w:val="en-GB"/>
              </w:rPr>
              <w:t>When the customer pays consideration in advance, or</w:t>
            </w:r>
            <w:r>
              <w:rPr>
                <w:lang w:val="en-GB"/>
              </w:rPr>
              <w:t xml:space="preserve"> when</w:t>
            </w:r>
            <w:r w:rsidRPr="00305DFD">
              <w:rPr>
                <w:lang w:val="en-GB"/>
              </w:rPr>
              <w:t xml:space="preserve"> the consideration is due before transferring the </w:t>
            </w:r>
            <w:r w:rsidRPr="001D18D5">
              <w:rPr>
                <w:lang w:val="en-GB"/>
              </w:rPr>
              <w:t>contractual p</w:t>
            </w:r>
            <w:r w:rsidRPr="001D18D5">
              <w:rPr>
                <w:lang w:val="en-GB"/>
              </w:rPr>
              <w:t xml:space="preserve">erformance obligation, the amount received in advance is presented as a contract liability. </w:t>
            </w:r>
            <w:r w:rsidRPr="001D18D5">
              <w:rPr>
                <w:lang w:val="en-GB"/>
              </w:rPr>
              <w:t>Contract liabilities are recognised as revenue when the Group performs under the contract. Advances received and deferred revenue relate to payments received</w:t>
            </w:r>
            <w:r>
              <w:rPr>
                <w:lang w:val="en-GB"/>
              </w:rPr>
              <w:t>,</w:t>
            </w:r>
            <w:r w:rsidRPr="001D18D5">
              <w:rPr>
                <w:lang w:val="en-GB"/>
              </w:rPr>
              <w:t xml:space="preserve"> or in</w:t>
            </w:r>
            <w:r w:rsidRPr="001D18D5">
              <w:rPr>
                <w:lang w:val="en-GB"/>
              </w:rPr>
              <w:t>voicing in excess of revenue recognised.</w:t>
            </w:r>
          </w:p>
          <w:p w:rsidR="00305DFD" w:rsidP="00305DFD" w14:paraId="34CB4656" w14:textId="47E39BA1">
            <w:pPr>
              <w:pStyle w:val="Bodytext2"/>
              <w:rPr>
                <w:lang w:val="en-GB"/>
              </w:rPr>
            </w:pPr>
          </w:p>
          <w:p w:rsidR="00E825DA" w:rsidP="00305DFD" w14:paraId="01D64F67" w14:textId="463117C8">
            <w:pPr>
              <w:pStyle w:val="Bodytext2"/>
              <w:rPr>
                <w:lang w:val="en-GB"/>
              </w:rPr>
            </w:pPr>
          </w:p>
          <w:p w:rsidR="008C5440" w:rsidRPr="001D18D5" w:rsidP="00305DFD" w14:paraId="646A3E94" w14:textId="77777777">
            <w:pPr>
              <w:pStyle w:val="Bodytext2"/>
              <w:rPr>
                <w:lang w:val="en-GB"/>
              </w:rPr>
            </w:pPr>
          </w:p>
          <w:p w:rsidR="00305DFD" w:rsidRPr="00450C5F" w:rsidP="00305DFD" w14:paraId="7556162C" w14:textId="77777777">
            <w:pPr>
              <w:pStyle w:val="Heading13"/>
              <w:rPr>
                <w:lang w:val="en-GB"/>
              </w:rPr>
            </w:pPr>
            <w:r w:rsidRPr="001D18D5">
              <w:rPr>
                <w:lang w:val="en-GB"/>
              </w:rPr>
              <w:t>Accounting estimates and judgements</w:t>
            </w:r>
          </w:p>
          <w:p w:rsidR="00305DFD" w:rsidRPr="00450C5F" w:rsidP="00305DFD" w14:paraId="029D9A63" w14:textId="3CBEEDBD">
            <w:pPr>
              <w:pStyle w:val="Bodytext2"/>
              <w:rPr>
                <w:lang w:val="en-GB"/>
              </w:rPr>
            </w:pPr>
            <w:r w:rsidRPr="00450C5F">
              <w:rPr>
                <w:lang w:val="en-GB"/>
              </w:rPr>
              <w:t>Estimated expected credit loss provision</w:t>
            </w:r>
            <w:r>
              <w:rPr>
                <w:lang w:val="en-GB"/>
              </w:rPr>
              <w:t>s are</w:t>
            </w:r>
            <w:r w:rsidRPr="00450C5F">
              <w:rPr>
                <w:lang w:val="en-GB"/>
              </w:rPr>
              <w:t xml:space="preserve"> based on management’s best judgement. Management judgement includes past years’ experience and</w:t>
            </w:r>
            <w:r>
              <w:rPr>
                <w:lang w:val="en-GB"/>
              </w:rPr>
              <w:t xml:space="preserve"> a</w:t>
            </w:r>
            <w:r w:rsidRPr="00450C5F">
              <w:rPr>
                <w:lang w:val="en-GB"/>
              </w:rPr>
              <w:t xml:space="preserve"> forward-looking understanding of</w:t>
            </w:r>
            <w:r>
              <w:rPr>
                <w:lang w:val="en-GB"/>
              </w:rPr>
              <w:t xml:space="preserve"> t</w:t>
            </w:r>
            <w:r>
              <w:rPr>
                <w:lang w:val="en-GB"/>
              </w:rPr>
              <w:t>he</w:t>
            </w:r>
            <w:r w:rsidRPr="00450C5F">
              <w:rPr>
                <w:lang w:val="en-GB"/>
              </w:rPr>
              <w:t xml:space="preserve"> client</w:t>
            </w:r>
            <w:r>
              <w:rPr>
                <w:lang w:val="en-GB"/>
              </w:rPr>
              <w:t>’s</w:t>
            </w:r>
            <w:r w:rsidRPr="00450C5F">
              <w:rPr>
                <w:lang w:val="en-GB"/>
              </w:rPr>
              <w:t xml:space="preserve"> payment behaviour and economic situation.</w:t>
            </w:r>
          </w:p>
          <w:p w:rsidR="00305DFD" w:rsidRPr="00450C5F" w:rsidP="00305DFD" w14:paraId="733879F0" w14:textId="77777777">
            <w:pPr>
              <w:pStyle w:val="Bodytext2"/>
              <w:rPr>
                <w:lang w:val="en-GB"/>
              </w:rPr>
            </w:pPr>
          </w:p>
          <w:p w:rsidR="00305DFD" w:rsidRPr="00450C5F" w:rsidP="00305DFD" w14:paraId="58AAF24F" w14:textId="77777777">
            <w:pPr>
              <w:pStyle w:val="Bodytext2"/>
              <w:rPr>
                <w:lang w:val="en-GB"/>
              </w:rPr>
            </w:pPr>
            <w:r w:rsidRPr="00450C5F">
              <w:rPr>
                <w:lang w:val="en-GB"/>
              </w:rPr>
              <w:t>Assessing whether or not it is probable that the consideration from contracts with customers will be collected requires judgement, and might impact the timing and amount of revenue recognition.</w:t>
            </w:r>
          </w:p>
        </w:tc>
      </w:tr>
    </w:tbl>
    <w:p w:rsidR="00305DFD" w:rsidP="00305DFD" w14:paraId="025A00EC" w14:textId="4D3AE26F">
      <w:pPr>
        <w:pStyle w:val="Bodytext2"/>
      </w:pPr>
    </w:p>
    <w:p w:rsidR="00305DFD" w:rsidRPr="00305DFD" w:rsidP="00305DFD" w14:paraId="51E21FE5" w14:textId="77777777">
      <w:pPr>
        <w:pStyle w:val="Heading13"/>
      </w:pPr>
      <w:r w:rsidRPr="00305DFD">
        <w:t>Contract assets and liabilities</w:t>
      </w:r>
    </w:p>
    <w:p w:rsidR="00305DFD" w:rsidRPr="00305DFD" w:rsidP="00305DFD" w14:paraId="6AEE7CF1" w14:textId="77777777">
      <w:pPr>
        <w:pStyle w:val="Bodytext2"/>
      </w:pPr>
    </w:p>
    <w:tbl>
      <w:tblPr>
        <w:tblStyle w:val="TableNormal"/>
        <w:tblCaption w:val="table_contract_balances"/>
        <w:tblDescription w:val="20. Sopimukseen perustuvat taseeseen merkityt määrät"/>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953</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1,255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Contract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Contract liabilities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Advances received</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Deferred income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524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465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Trade receivables and contract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1,311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1,752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Contract liabilities</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926</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880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Revenue recognised in the financial period that was included in the contract liability on 1 January</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880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888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Unsatisfied performance obligations, all revenue types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6,748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7,427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of which remaining performance obligations from projects and contracts under execution</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3,898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3,959</w:t>
            </w:r>
          </w:p>
        </w:tc>
      </w:tr>
    </w:tbl>
    <w:p w:rsidR="00305DFD" w:rsidRPr="00EF4467" w:rsidP="00EF4467" w14:paraId="4E6BA1B2" w14:textId="77777777">
      <w:pPr>
        <w:pStyle w:val="Bodytext2"/>
      </w:pPr>
    </w:p>
    <w:p w:rsidR="00305DFD" w:rsidRPr="00EF4467" w:rsidP="00EF4467" w14:paraId="079FC415" w14:textId="54547617">
      <w:pPr>
        <w:pStyle w:val="Bodytext2"/>
      </w:pPr>
      <w:r w:rsidRPr="00EF4467">
        <w:t>The contract assets and liabilities arise from long-term service agreements and projects recognised over time, such as gas solutions construction contracts, integrated solutions projects, ship design, and energy solutions turnkey contracts.</w:t>
      </w:r>
      <w:r w:rsidRPr="00EF4467" w:rsidR="00504D9B">
        <w:t xml:space="preserve"> The </w:t>
      </w:r>
      <w:r w:rsidRPr="00EF4467">
        <w:t>decrease in</w:t>
      </w:r>
      <w:r w:rsidRPr="00EF4467">
        <w:t xml:space="preserve"> contract assets arises from usual business-related project variations mainly in Energy business. Also</w:t>
      </w:r>
      <w:r w:rsidRPr="00EF4467" w:rsidR="00A01D0B">
        <w:t>,</w:t>
      </w:r>
      <w:r w:rsidRPr="00EF4467">
        <w:t xml:space="preserve"> the increase in contract liabilities arises from usual business-related project variations, mainly in Marine Systems business.</w:t>
      </w:r>
    </w:p>
    <w:p w:rsidR="00EF4467" w:rsidRPr="00EF4467" w:rsidP="00EF4467" w14:paraId="47433DD3" w14:textId="79A7AFF3">
      <w:pPr>
        <w:pStyle w:val="Bodytext2"/>
      </w:pPr>
    </w:p>
    <w:p w:rsidR="00EF4467" w:rsidRPr="00EF4467" w:rsidP="00EF4467" w14:paraId="3115F77D" w14:textId="0A2953A6">
      <w:pPr>
        <w:pStyle w:val="Bodytext2"/>
      </w:pPr>
      <w:r w:rsidRPr="00EF4467">
        <w:t xml:space="preserve">Credit risk included in </w:t>
      </w:r>
      <w:r w:rsidRPr="00EF4467">
        <w:t>Wärtsilä’s receivables and the recoverability of contract assets has been evaluated under the uncertainty caused by the COVID-19 pandemic. There has not been any significant indication of change in customer payment behavior, and therefore same principles h</w:t>
      </w:r>
      <w:r w:rsidRPr="00EF4467">
        <w:t>ave been applied for expected credit loss recognition as in the annual report 2019. The collection of trade receivables has been emphasised. The risk in the recoverability of the contract assets is not seen to have significantly increased. As of the report</w:t>
      </w:r>
      <w:r w:rsidRPr="00EF4467">
        <w:t>ing date, Wärtsilä has not received any significant cancellations for projects or long-term agreements under execution. Cancellations and postponements of orders have largely been in line with the normal levels.</w:t>
      </w:r>
    </w:p>
    <w:p w:rsidR="00A01D0B" w:rsidRPr="00305DFD" w:rsidP="00305DFD" w14:paraId="524A83E4" w14:textId="77777777">
      <w:pPr>
        <w:pStyle w:val="Bodytext2"/>
      </w:pPr>
    </w:p>
    <w:p w:rsidR="00305DFD" w:rsidRPr="00305DFD" w:rsidP="00305DFD" w14:paraId="1732217D" w14:textId="33856ECF">
      <w:pPr>
        <w:pStyle w:val="Heading13"/>
      </w:pPr>
      <w:r w:rsidRPr="00305DFD">
        <w:t>Ag</w:t>
      </w:r>
      <w:r>
        <w:t>e</w:t>
      </w:r>
      <w:r w:rsidRPr="00305DFD">
        <w:t>ing of trade receivables</w:t>
      </w:r>
    </w:p>
    <w:p w:rsidR="00305DFD" w:rsidRPr="00305DFD" w:rsidP="00305DFD" w14:paraId="793B734D" w14:textId="77777777">
      <w:pPr>
        <w:pStyle w:val="Bodytext2"/>
      </w:pPr>
    </w:p>
    <w:tbl>
      <w:tblPr>
        <w:tblStyle w:val="TableNormal"/>
        <w:tblCaption w:val="table_aging_trade_receivables"/>
        <w:tblW w:w="7350" w:type="dxa"/>
        <w:tblLayout w:type="fixed"/>
        <w:tblLook w:val="0600"/>
      </w:tblPr>
      <w:tblGrid>
        <w:gridCol w:w="3030"/>
        <w:gridCol w:w="1080"/>
        <w:gridCol w:w="1080"/>
        <w:gridCol w:w="1080"/>
        <w:gridCol w:w="1080"/>
      </w:tblGrid>
      <w:tr>
        <w:tblPrEx>
          <w:tblW w:w="7350" w:type="dxa"/>
          <w:tblLayout w:type="fixed"/>
          <w:tblLook w:val="0600"/>
        </w:tblPrEx>
        <w:trPr>
          <w:trHeight w:hRule="exact" w:val="225"/>
        </w:trPr>
        <w:tc>
          <w:tcPr>
            <w:tcW w:w="303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nil"/>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nil"/>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nil"/>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435"/>
        </w:trPr>
        <w:tc>
          <w:tcPr>
            <w:tcW w:w="30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8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Trade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receivables</w:t>
            </w:r>
          </w:p>
        </w:tc>
        <w:tc>
          <w:tcPr>
            <w:tcW w:w="108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which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impaired</w:t>
            </w:r>
          </w:p>
        </w:tc>
        <w:tc>
          <w:tcPr>
            <w:tcW w:w="108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Trade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receivables</w:t>
            </w:r>
          </w:p>
        </w:tc>
        <w:tc>
          <w:tcPr>
            <w:tcW w:w="108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which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impaired</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Not past due</w:t>
            </w: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657</w:t>
            </w: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788</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Past due 1–30 days</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112</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7E6E6"/>
                <w:sz w:val="13"/>
                <w:u w:val="none"/>
                <w:vertAlign w:val="baseline"/>
              </w:rPr>
            </w:pPr>
            <w:r>
              <w:rPr>
                <w:rFonts w:ascii="Arial" w:eastAsia="Arial" w:hAnsi="Arial" w:cs="Arial"/>
                <w:b/>
                <w:i w:val="0"/>
                <w:strike w:val="0"/>
                <w:color w:val="E7E6E6"/>
                <w:sz w:val="13"/>
                <w:u w:val="none"/>
                <w:vertAlign w:val="baseline"/>
              </w:rPr>
              <w:t>0</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149</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FFFFFF"/>
                <w:sz w:val="13"/>
                <w:u w:val="none"/>
                <w:vertAlign w:val="baseline"/>
              </w:rPr>
            </w:pPr>
            <w:r>
              <w:rPr>
                <w:rFonts w:ascii="Arial" w:eastAsia="Arial" w:hAnsi="Arial" w:cs="Arial"/>
                <w:b w:val="0"/>
                <w:i w:val="0"/>
                <w:strike w:val="0"/>
                <w:color w:val="FFFFFF"/>
                <w:sz w:val="13"/>
                <w:u w:val="none"/>
                <w:vertAlign w:val="baseline"/>
              </w:rPr>
              <w:t>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Past due 31–180 days</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123</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227</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Past due 181–360 days</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73</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Past due 1 year</w:t>
            </w: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w:t>
            </w: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56</w:t>
            </w: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81</w:t>
            </w: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1,014</w:t>
            </w: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1,317</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r>
    </w:tbl>
    <w:p w:rsidR="00305DFD" w:rsidRPr="00305DFD" w:rsidP="00305DFD" w14:paraId="76BACC5A" w14:textId="77777777">
      <w:pPr>
        <w:pStyle w:val="Bodytext2"/>
      </w:pPr>
    </w:p>
    <w:p w:rsidR="00305DFD" w:rsidRPr="00305DFD" w:rsidP="00305DFD" w14:paraId="773E930D" w14:textId="7DEC8442">
      <w:pPr>
        <w:pStyle w:val="Bodytext2"/>
      </w:pPr>
      <w:r w:rsidRPr="00305DFD">
        <w:t xml:space="preserve">In 2020, the result impact of write-offs was EUR </w:t>
      </w:r>
      <w:r w:rsidR="00504D9B">
        <w:t>-5</w:t>
      </w:r>
      <w:r w:rsidRPr="00305DFD">
        <w:t xml:space="preserve"> million (-7).</w:t>
      </w:r>
    </w:p>
    <w:p w:rsidR="00305DFD" w:rsidRPr="00305DFD" w:rsidP="00305DFD" w14:paraId="369C4B64" w14:textId="77777777">
      <w:pPr>
        <w:pStyle w:val="Bodytext2"/>
      </w:pPr>
    </w:p>
    <w:p w:rsidR="00305DFD" w:rsidRPr="00305DFD" w:rsidP="00305DFD" w14:paraId="250503F0" w14:textId="77777777">
      <w:pPr>
        <w:pStyle w:val="Heading13"/>
      </w:pPr>
      <w:r w:rsidRPr="00305DFD">
        <w:t>Impairment</w:t>
      </w:r>
    </w:p>
    <w:p w:rsidR="00305DFD" w:rsidRPr="00305DFD" w:rsidP="00305DFD" w14:paraId="4C74C20A" w14:textId="77777777">
      <w:pPr>
        <w:pStyle w:val="Bodytext2"/>
      </w:pPr>
    </w:p>
    <w:tbl>
      <w:tblPr>
        <w:tblStyle w:val="TableNormal"/>
        <w:tblCaption w:val="table_impairment"/>
        <w:tblW w:w="7350" w:type="dxa"/>
        <w:tblLayout w:type="fixed"/>
        <w:tblLook w:val="0600"/>
      </w:tblPr>
      <w:tblGrid>
        <w:gridCol w:w="3030"/>
        <w:gridCol w:w="1080"/>
        <w:gridCol w:w="1080"/>
        <w:gridCol w:w="1080"/>
        <w:gridCol w:w="1080"/>
      </w:tblGrid>
      <w:tr>
        <w:tblPrEx>
          <w:tblW w:w="7350" w:type="dxa"/>
          <w:tblLayout w:type="fixed"/>
          <w:tblLook w:val="0600"/>
        </w:tblPrEx>
        <w:trPr>
          <w:trHeight w:hRule="exact" w:val="240"/>
        </w:trPr>
        <w:tc>
          <w:tcPr>
            <w:tcW w:w="30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8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Impairment, beginning of period</w:t>
            </w: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Money received</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Impairment during the period</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Write-off during the period</w:t>
            </w: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Impairment, end of period</w:t>
            </w:r>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r>
    </w:tbl>
    <w:p w:rsidR="00305DFD" w:rsidRPr="00305DFD" w:rsidP="00305DFD" w14:paraId="07B12ECF" w14:textId="77777777">
      <w:pPr>
        <w:pStyle w:val="Bodytext2"/>
      </w:pPr>
    </w:p>
    <w:p w:rsidR="00305DFD" w:rsidRPr="006A4F26" w:rsidP="00305DFD" w14:paraId="146B0F22" w14:textId="710FA2AB">
      <w:pPr>
        <w:pStyle w:val="Bodytext2"/>
        <w:rPr>
          <w:sz w:val="2"/>
          <w:szCs w:val="2"/>
        </w:rPr>
      </w:pPr>
      <w:r w:rsidRPr="00305DFD">
        <w:t xml:space="preserve">The Group sells trade receivables in an amount that is currently not significant compared to the trade receivables as a whole. Sold </w:t>
      </w:r>
      <w:r w:rsidRPr="00305DFD">
        <w:t>receivables have been de-recognised in the statement of financial position.</w:t>
      </w:r>
      <w:r>
        <w:br w:type="column"/>
      </w:r>
    </w:p>
    <w:p w:rsidR="007574FD" w:rsidP="007574FD" w14:paraId="6E034313" w14:textId="77777777">
      <w:pPr>
        <w:pStyle w:val="Heading12"/>
      </w:pPr>
      <w:bookmarkStart w:id="1171" w:name="RG_MARKER_4178"/>
      <w:r>
        <w:t>4.3. OTHER RECEIVABLES</w:t>
      </w:r>
      <w:bookmarkEnd w:id="1171"/>
    </w:p>
    <w:tbl>
      <w:tblPr>
        <w:tblStyle w:val="TableGrid"/>
        <w:tblW w:w="7371" w:type="dxa"/>
        <w:tblLook w:val="04A0"/>
      </w:tblPr>
      <w:tblGrid>
        <w:gridCol w:w="7371"/>
      </w:tblGrid>
      <w:tr w14:paraId="6C0971C8" w14:textId="77777777" w:rsidTr="007574FD">
        <w:tblPrEx>
          <w:tblW w:w="7371" w:type="dxa"/>
          <w:tblLook w:val="04A0"/>
        </w:tblPrEx>
        <w:tc>
          <w:tcPr>
            <w:tcW w:w="6683" w:type="dxa"/>
            <w:tcBorders>
              <w:top w:val="nil"/>
              <w:left w:val="nil"/>
              <w:bottom w:val="nil"/>
              <w:right w:val="nil"/>
            </w:tcBorders>
            <w:shd w:val="clear" w:color="auto" w:fill="B6C8D1"/>
            <w:hideMark/>
          </w:tcPr>
          <w:p w:rsidR="007574FD" w:rsidRPr="003802C7" w:rsidP="007574FD" w14:paraId="0E3112A9" w14:textId="77777777">
            <w:pPr>
              <w:pStyle w:val="Heading13"/>
              <w:rPr>
                <w:lang w:val="en-GB"/>
              </w:rPr>
            </w:pPr>
            <w:r w:rsidRPr="002478C9">
              <w:rPr>
                <w:lang w:val="en-GB"/>
              </w:rPr>
              <w:t>Accounting principles</w:t>
            </w:r>
          </w:p>
          <w:p w:rsidR="007574FD" w:rsidRPr="003802C7" w:rsidP="007574FD" w14:paraId="0BA5A075" w14:textId="77777777">
            <w:pPr>
              <w:pStyle w:val="Bodytext2"/>
              <w:rPr>
                <w:lang w:val="en-GB"/>
              </w:rPr>
            </w:pPr>
            <w:r w:rsidRPr="003802C7">
              <w:rPr>
                <w:lang w:val="en-GB"/>
              </w:rPr>
              <w:t>Other receivables are recognised at amortised cost.</w:t>
            </w:r>
          </w:p>
        </w:tc>
      </w:tr>
    </w:tbl>
    <w:p w:rsidR="007574FD" w:rsidRPr="007574FD" w:rsidP="007574FD" w14:paraId="415EF839" w14:textId="77777777">
      <w:pPr>
        <w:pStyle w:val="Bodytext2"/>
      </w:pPr>
    </w:p>
    <w:tbl>
      <w:tblPr>
        <w:tblStyle w:val="TableNormal"/>
        <w:tblCaption w:val="table_other_receivables"/>
        <w:tblDescription w:val="21. Muut saamiset"/>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and other financial items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Insurance receivables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Rental accruals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Prepaid expenses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accruals</w:t>
            </w:r>
          </w:p>
        </w:tc>
        <w:tc>
          <w:tcPr>
            <w:tcW w:w="12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w:t>
            </w:r>
          </w:p>
        </w:tc>
        <w:tc>
          <w:tcPr>
            <w:tcW w:w="12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 receivables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Defined benefit plans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VAT receivables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56</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269</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258</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281</w:t>
            </w:r>
          </w:p>
        </w:tc>
      </w:tr>
    </w:tbl>
    <w:p w:rsidR="00533662" w:rsidP="007574FD" w14:paraId="7E00C627" w14:textId="7EBEC7B7">
      <w:pPr>
        <w:pStyle w:val="Bodytext2"/>
      </w:pPr>
    </w:p>
    <w:p w:rsidR="00533662" w:rsidRPr="007574FD" w:rsidP="00533662" w14:paraId="7800B9ED" w14:textId="11708540">
      <w:pPr>
        <w:pStyle w:val="Bodytext2"/>
      </w:pPr>
      <w:r w:rsidRPr="007574FD">
        <w:t xml:space="preserve">* </w:t>
      </w:r>
      <w:r>
        <w:t xml:space="preserve">Other receivables includes payroll related tax receivables of EUR 7 million (9) in Brazil, which cannot be </w:t>
      </w:r>
      <w:r>
        <w:t>utilised</w:t>
      </w:r>
      <w:r>
        <w:t xml:space="preserve"> likely within a year.</w:t>
      </w:r>
      <w:r>
        <w:t xml:space="preserve"> </w:t>
      </w:r>
      <w:r>
        <w:t>In 2019 current other receivables also included a receivable of EUR 21 million relating to disposal of pump business, which has been received in 2020.</w:t>
      </w:r>
    </w:p>
    <w:p/>
    <w:p w:rsidR="00304BE0" w:rsidP="00304BE0" w14:paraId="6ED8BCA6" w14:textId="77777777">
      <w:pPr>
        <w:pStyle w:val="Heading12"/>
      </w:pPr>
      <w:bookmarkStart w:id="1172" w:name="RG_MARKER_4179"/>
      <w:r>
        <w:t>4.4. TRADE PAYABLES AND OTHER LIABILITIES</w:t>
      </w:r>
      <w:bookmarkEnd w:id="1172"/>
    </w:p>
    <w:tbl>
      <w:tblPr>
        <w:tblStyle w:val="TableGrid"/>
        <w:tblW w:w="7371" w:type="dxa"/>
        <w:tblLook w:val="04A0"/>
      </w:tblPr>
      <w:tblGrid>
        <w:gridCol w:w="7371"/>
      </w:tblGrid>
      <w:tr w14:paraId="021F33A0" w14:textId="77777777" w:rsidTr="00304BE0">
        <w:tblPrEx>
          <w:tblW w:w="7371" w:type="dxa"/>
          <w:tblLook w:val="04A0"/>
        </w:tblPrEx>
        <w:tc>
          <w:tcPr>
            <w:tcW w:w="6683" w:type="dxa"/>
            <w:tcBorders>
              <w:top w:val="nil"/>
              <w:left w:val="nil"/>
              <w:bottom w:val="nil"/>
              <w:right w:val="nil"/>
            </w:tcBorders>
            <w:shd w:val="clear" w:color="auto" w:fill="B6C8D1"/>
            <w:hideMark/>
          </w:tcPr>
          <w:p w:rsidR="00304BE0" w:rsidRPr="00984441" w:rsidP="00304BE0" w14:paraId="0BCA1F9F" w14:textId="77777777">
            <w:pPr>
              <w:pStyle w:val="Heading13"/>
              <w:rPr>
                <w:lang w:val="en-GB"/>
              </w:rPr>
            </w:pPr>
            <w:r w:rsidRPr="00984441">
              <w:rPr>
                <w:lang w:val="en-GB"/>
              </w:rPr>
              <w:t>Accounting principles</w:t>
            </w:r>
          </w:p>
          <w:p w:rsidR="00304BE0" w:rsidRPr="00984441" w:rsidP="00304BE0" w14:paraId="642BDF37" w14:textId="77777777">
            <w:pPr>
              <w:pStyle w:val="Bodytext2"/>
              <w:rPr>
                <w:lang w:val="en-GB"/>
              </w:rPr>
            </w:pPr>
            <w:r w:rsidRPr="00984441">
              <w:rPr>
                <w:lang w:val="en-GB"/>
              </w:rPr>
              <w:t>Trade payables and other liabilities are initially recognised at fair value and subsequently measured at amortised cost.</w:t>
            </w:r>
          </w:p>
        </w:tc>
      </w:tr>
    </w:tbl>
    <w:p w:rsidR="00304BE0" w:rsidRPr="00304BE0" w:rsidP="00304BE0" w14:paraId="020C3128" w14:textId="77777777">
      <w:pPr>
        <w:pStyle w:val="Bodytext2"/>
      </w:pPr>
    </w:p>
    <w:tbl>
      <w:tblPr>
        <w:tblStyle w:val="TableNormal"/>
        <w:tblCaption w:val="table_other_payables"/>
        <w:tblDescription w:val="29. Other liabilities"/>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411</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Accrued expenses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315</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Personnel costs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and other financial items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accruals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VAT liabilities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81</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1,076</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1,247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1,075</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1,246</w:t>
            </w:r>
          </w:p>
        </w:tc>
      </w:tr>
    </w:tbl>
    <w:p/>
    <w:p w:rsidR="00B3292E" w:rsidRPr="008215C0" w:rsidP="00B3292E" w14:paraId="73A920C5" w14:textId="77777777">
      <w:pPr>
        <w:pStyle w:val="Heading12"/>
      </w:pPr>
      <w:bookmarkStart w:id="1173" w:name="RG_MARKER_4180"/>
      <w:r w:rsidRPr="008215C0">
        <w:t>4.5. PROVISIONS</w:t>
      </w:r>
      <w:bookmarkEnd w:id="1173"/>
    </w:p>
    <w:tbl>
      <w:tblPr>
        <w:tblStyle w:val="TableGrid"/>
        <w:tblW w:w="7371" w:type="dxa"/>
        <w:tblLook w:val="04A0"/>
      </w:tblPr>
      <w:tblGrid>
        <w:gridCol w:w="7371"/>
      </w:tblGrid>
      <w:tr w14:paraId="3AD7F907" w14:textId="77777777" w:rsidTr="00B3292E">
        <w:tblPrEx>
          <w:tblW w:w="7371" w:type="dxa"/>
          <w:tblLook w:val="04A0"/>
        </w:tblPrEx>
        <w:tc>
          <w:tcPr>
            <w:tcW w:w="7371" w:type="dxa"/>
            <w:tcBorders>
              <w:top w:val="nil"/>
              <w:left w:val="nil"/>
              <w:bottom w:val="nil"/>
              <w:right w:val="nil"/>
            </w:tcBorders>
            <w:shd w:val="clear" w:color="auto" w:fill="B6C8D1"/>
          </w:tcPr>
          <w:p w:rsidR="00B3292E" w:rsidRPr="008215C0" w:rsidP="00B3292E" w14:paraId="3A5B100A" w14:textId="77777777">
            <w:pPr>
              <w:pStyle w:val="Heading13"/>
              <w:rPr>
                <w:lang w:val="en-GB"/>
              </w:rPr>
            </w:pPr>
            <w:r w:rsidRPr="008215C0">
              <w:rPr>
                <w:lang w:val="en-GB"/>
              </w:rPr>
              <w:t>Accounting principles</w:t>
            </w:r>
          </w:p>
          <w:p w:rsidR="00B3292E" w:rsidRPr="008215C0" w:rsidP="00B3292E" w14:paraId="52832DD1" w14:textId="1D8A3024">
            <w:pPr>
              <w:pStyle w:val="Bodytext2"/>
              <w:rPr>
                <w:lang w:val="en-GB"/>
              </w:rPr>
            </w:pPr>
            <w:r w:rsidRPr="008215C0">
              <w:rPr>
                <w:lang w:val="en-GB"/>
              </w:rPr>
              <w:t>Provisions are recognised in the statement of financial position when the Group has a present legal or constructive obligation as a result of a past event, and it is probable that an outflow of economic benefits will be required to settle the obligation an</w:t>
            </w:r>
            <w:r w:rsidRPr="008215C0">
              <w:rPr>
                <w:lang w:val="en-GB"/>
              </w:rPr>
              <w:t>d a reliable estimate can be made of the amount of the obligation. Provisions can arise, for example, from warranties, environmental risks, litigation, foreseeable losses on projects, and restructuring costs. The amount to be recognised as provisions corre</w:t>
            </w:r>
            <w:r w:rsidRPr="008215C0">
              <w:rPr>
                <w:lang w:val="en-GB"/>
              </w:rPr>
              <w:t xml:space="preserve">sponds to the management’s best estimate of the expenses that will be necessary to meet the existing obligation at the end of the </w:t>
            </w:r>
            <w:r>
              <w:rPr>
                <w:lang w:val="en-GB"/>
              </w:rPr>
              <w:t>reporting</w:t>
            </w:r>
            <w:r w:rsidRPr="008215C0">
              <w:rPr>
                <w:lang w:val="en-GB"/>
              </w:rPr>
              <w:t xml:space="preserve"> period.</w:t>
            </w:r>
          </w:p>
          <w:p w:rsidR="00B3292E" w:rsidRPr="008215C0" w:rsidP="00B3292E" w14:paraId="0D819122" w14:textId="77777777">
            <w:pPr>
              <w:pStyle w:val="Bodytext2"/>
              <w:rPr>
                <w:lang w:val="en-GB"/>
              </w:rPr>
            </w:pPr>
          </w:p>
          <w:p w:rsidR="00B3292E" w:rsidRPr="008215C0" w:rsidP="00B3292E" w14:paraId="3EA96F89" w14:textId="5F742C77">
            <w:pPr>
              <w:pStyle w:val="Bodytext2"/>
              <w:rPr>
                <w:lang w:val="en-GB"/>
              </w:rPr>
            </w:pPr>
            <w:r w:rsidRPr="008215C0">
              <w:rPr>
                <w:lang w:val="en-GB"/>
              </w:rPr>
              <w:t>Warranty provisions include estimated future warranty costs relating to products delivered. The amount of f</w:t>
            </w:r>
            <w:r w:rsidRPr="008215C0">
              <w:rPr>
                <w:lang w:val="en-GB"/>
              </w:rPr>
              <w:t xml:space="preserve">uture warranty costs is based on accumulated historical experience. </w:t>
            </w:r>
            <w:r w:rsidRPr="008215C0">
              <w:rPr>
                <w:lang w:val="en-GB"/>
              </w:rPr>
              <w:t>Typically</w:t>
            </w:r>
            <w:r w:rsidRPr="008215C0">
              <w:rPr>
                <w:lang w:val="en-GB"/>
              </w:rPr>
              <w:t xml:space="preserve"> the standard warranty period is one year from the delivery onwards.</w:t>
            </w:r>
          </w:p>
          <w:p w:rsidR="00B3292E" w:rsidRPr="008215C0" w:rsidP="00B3292E" w14:paraId="0528BEBA" w14:textId="77777777">
            <w:pPr>
              <w:pStyle w:val="Bodytext2"/>
              <w:rPr>
                <w:lang w:val="en-GB"/>
              </w:rPr>
            </w:pPr>
          </w:p>
          <w:p w:rsidR="00B3292E" w:rsidRPr="008215C0" w:rsidP="00B3292E" w14:paraId="0729A4E3" w14:textId="0E4ECF47">
            <w:pPr>
              <w:pStyle w:val="Bodytext2"/>
              <w:rPr>
                <w:lang w:val="en-GB"/>
              </w:rPr>
            </w:pPr>
            <w:r w:rsidRPr="008215C0">
              <w:rPr>
                <w:lang w:val="en-GB"/>
              </w:rPr>
              <w:t>Provisions for restructuring costs are made once the restructuring plan has been approved and the implementat</w:t>
            </w:r>
            <w:r w:rsidRPr="008215C0">
              <w:rPr>
                <w:lang w:val="en-GB"/>
              </w:rPr>
              <w:t>ion started, or the personnel concerned have been informed of the terms. The plan must indicate which activities and personnel will be affected</w:t>
            </w:r>
            <w:r>
              <w:rPr>
                <w:lang w:val="en-GB"/>
              </w:rPr>
              <w:t>, as well as</w:t>
            </w:r>
            <w:r w:rsidRPr="008215C0">
              <w:rPr>
                <w:lang w:val="en-GB"/>
              </w:rPr>
              <w:t xml:space="preserve"> the timing and cost of implementation.</w:t>
            </w:r>
          </w:p>
          <w:p w:rsidR="00B3292E" w:rsidRPr="008215C0" w:rsidP="00B3292E" w14:paraId="63A75E99" w14:textId="77777777">
            <w:pPr>
              <w:pStyle w:val="Bodytext2"/>
              <w:rPr>
                <w:lang w:val="en-GB"/>
              </w:rPr>
            </w:pPr>
          </w:p>
          <w:p w:rsidR="00B3292E" w:rsidRPr="008215C0" w:rsidP="00B3292E" w14:paraId="26E4EE06" w14:textId="7D8BCB46">
            <w:pPr>
              <w:pStyle w:val="Bodytext2"/>
              <w:rPr>
                <w:lang w:val="en-GB"/>
              </w:rPr>
            </w:pPr>
            <w:r w:rsidRPr="008215C0">
              <w:rPr>
                <w:lang w:val="en-GB"/>
              </w:rPr>
              <w:t xml:space="preserve">The Group is a defendant in </w:t>
            </w:r>
            <w:r w:rsidRPr="008215C0">
              <w:rPr>
                <w:lang w:val="en-GB"/>
              </w:rPr>
              <w:t>a number of</w:t>
            </w:r>
            <w:r w:rsidRPr="008215C0">
              <w:rPr>
                <w:lang w:val="en-GB"/>
              </w:rPr>
              <w:t xml:space="preserve"> legal cases which ar</w:t>
            </w:r>
            <w:r w:rsidRPr="008215C0">
              <w:rPr>
                <w:lang w:val="en-GB"/>
              </w:rPr>
              <w:t>ise out of, or are incidental to, the ordinary course of its business. These lawsuits concern mainly issues</w:t>
            </w:r>
            <w:r>
              <w:rPr>
                <w:lang w:val="en-GB"/>
              </w:rPr>
              <w:t>,</w:t>
            </w:r>
            <w:r w:rsidRPr="008215C0">
              <w:rPr>
                <w:lang w:val="en-GB"/>
              </w:rPr>
              <w:t xml:space="preserve"> such as contractual and other liability, labour relations, property damage and regulatory matters. The Group receives from time to time claims of d</w:t>
            </w:r>
            <w:r w:rsidRPr="008215C0">
              <w:rPr>
                <w:lang w:val="en-GB"/>
              </w:rPr>
              <w:t>ifferent amounts and with varying degrees of substantiation. It is the Group’s policy to provide for amounts related to the claims</w:t>
            </w:r>
            <w:r>
              <w:rPr>
                <w:lang w:val="en-GB"/>
              </w:rPr>
              <w:t>,</w:t>
            </w:r>
            <w:r w:rsidRPr="008215C0">
              <w:rPr>
                <w:lang w:val="en-GB"/>
              </w:rPr>
              <w:t xml:space="preserve"> as well as for the litigation and arbitration matters when an unfavourable outcome is </w:t>
            </w:r>
            <w:r w:rsidRPr="008215C0">
              <w:rPr>
                <w:lang w:val="en-GB"/>
              </w:rPr>
              <w:t>probable</w:t>
            </w:r>
            <w:r w:rsidRPr="008215C0">
              <w:rPr>
                <w:lang w:val="en-GB"/>
              </w:rPr>
              <w:t xml:space="preserve"> and the amount of loss can be</w:t>
            </w:r>
            <w:r w:rsidRPr="008215C0">
              <w:rPr>
                <w:lang w:val="en-GB"/>
              </w:rPr>
              <w:t xml:space="preserve"> reasonably estimated.</w:t>
            </w:r>
          </w:p>
          <w:p w:rsidR="00B3292E" w:rsidRPr="008215C0" w:rsidP="00B3292E" w14:paraId="4C88C055" w14:textId="77777777">
            <w:pPr>
              <w:pStyle w:val="Bodytext2"/>
              <w:rPr>
                <w:lang w:val="en-GB"/>
              </w:rPr>
            </w:pPr>
          </w:p>
          <w:p w:rsidR="00B3292E" w:rsidRPr="008215C0" w:rsidP="00B3292E" w14:paraId="354752D3" w14:textId="77777777">
            <w:pPr>
              <w:pStyle w:val="Heading13"/>
              <w:rPr>
                <w:lang w:val="en-GB"/>
              </w:rPr>
            </w:pPr>
            <w:r w:rsidRPr="008215C0">
              <w:rPr>
                <w:lang w:val="en-GB"/>
              </w:rPr>
              <w:t>Accounting estimates and judgements</w:t>
            </w:r>
          </w:p>
          <w:p w:rsidR="00B3292E" w:rsidRPr="0060070C" w:rsidP="00B3292E" w14:paraId="0C41293E" w14:textId="4849A126">
            <w:pPr>
              <w:pStyle w:val="Bodytext2"/>
              <w:rPr>
                <w:lang w:val="en-GB"/>
              </w:rPr>
            </w:pPr>
            <w:r w:rsidRPr="008215C0">
              <w:rPr>
                <w:lang w:val="en-GB"/>
              </w:rPr>
              <w:t xml:space="preserve">The Group is a defendant in </w:t>
            </w:r>
            <w:r w:rsidRPr="008215C0">
              <w:rPr>
                <w:lang w:val="en-GB"/>
              </w:rPr>
              <w:t>a number of</w:t>
            </w:r>
            <w:r w:rsidRPr="008215C0">
              <w:rPr>
                <w:lang w:val="en-GB"/>
              </w:rPr>
              <w:t xml:space="preserve"> legal cases arising from its business operations. A provision for a court case is recognised when an unfavourable result is probable, and the loss can be de</w:t>
            </w:r>
            <w:r w:rsidRPr="008215C0">
              <w:rPr>
                <w:lang w:val="en-GB"/>
              </w:rPr>
              <w:t xml:space="preserve">termined with reasonable certainty. </w:t>
            </w:r>
            <w:r w:rsidRPr="008215C0">
              <w:rPr>
                <w:lang w:val="en-GB"/>
              </w:rPr>
              <w:t>The final result</w:t>
            </w:r>
            <w:r w:rsidRPr="008215C0">
              <w:rPr>
                <w:lang w:val="en-GB"/>
              </w:rPr>
              <w:t xml:space="preserve"> can differ from these estimates.</w:t>
            </w:r>
          </w:p>
        </w:tc>
      </w:tr>
    </w:tbl>
    <w:p w:rsidR="00B3292E" w:rsidRPr="008B4EC6" w:rsidP="00B3292E" w14:paraId="0A7962A7" w14:textId="0A679304">
      <w:pPr>
        <w:pStyle w:val="Bodytext2"/>
        <w:rPr>
          <w:sz w:val="2"/>
          <w:szCs w:val="2"/>
        </w:rPr>
      </w:pPr>
      <w:r>
        <w:br w:type="column"/>
      </w:r>
    </w:p>
    <w:p w:rsidR="00B3292E" w:rsidRPr="00B3292E" w:rsidP="00B3292E" w14:paraId="6DCA63BA" w14:textId="77777777">
      <w:pPr>
        <w:pStyle w:val="Heading13"/>
      </w:pPr>
      <w:r w:rsidRPr="00B3292E">
        <w:t>2020</w:t>
      </w:r>
    </w:p>
    <w:p w:rsidR="00B3292E" w:rsidRPr="00B3292E" w:rsidP="00B3292E" w14:paraId="0860C638" w14:textId="77777777">
      <w:pPr>
        <w:pStyle w:val="Bodytext2"/>
      </w:pPr>
    </w:p>
    <w:tbl>
      <w:tblPr>
        <w:tblStyle w:val="TableNormal"/>
        <w:tblCaption w:val="table_45_provisions_cur"/>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Litigation</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Warranties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Onerous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contracts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Restruc-</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turing</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Other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provisions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Provisions on 1 January 2020</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89</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Disposals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87</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Used provisions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-87</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Released provisions</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Provisions on 31 December 2020</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80</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269</w:t>
            </w:r>
          </w:p>
        </w:tc>
      </w:tr>
    </w:tbl>
    <w:p w:rsidR="00B3292E" w:rsidP="00B3292E" w14:paraId="5163B23D" w14:textId="3B0B92AC">
      <w:pPr>
        <w:pStyle w:val="Bodytext2"/>
      </w:pPr>
    </w:p>
    <w:p w:rsidR="006C36F0" w:rsidRPr="0060070C" w:rsidP="006C36F0" w14:paraId="0A171470" w14:textId="5D47483E">
      <w:pPr>
        <w:pStyle w:val="Bodytext2"/>
        <w:rPr>
          <w:lang w:val="en-GB"/>
        </w:rPr>
      </w:pPr>
      <w:r w:rsidRPr="008215C0">
        <w:rPr>
          <w:lang w:val="en-GB"/>
        </w:rPr>
        <w:t>There is currently one unusually sizeable claim, but it is highly unlikely that the outcome of it w</w:t>
      </w:r>
      <w:r>
        <w:rPr>
          <w:lang w:val="en-GB"/>
        </w:rPr>
        <w:t>ill</w:t>
      </w:r>
      <w:r w:rsidRPr="008215C0">
        <w:rPr>
          <w:lang w:val="en-GB"/>
        </w:rPr>
        <w:t xml:space="preserve"> be unfavourable. The claim is treated as a contingent liability.</w:t>
      </w:r>
    </w:p>
    <w:p w:rsidR="00B3292E" w:rsidRPr="00B3292E" w:rsidP="00B3292E" w14:paraId="78B9B46F" w14:textId="77777777">
      <w:pPr>
        <w:pStyle w:val="Bodytext2"/>
      </w:pPr>
    </w:p>
    <w:p w:rsidR="00B3292E" w:rsidRPr="00B3292E" w:rsidP="00B3292E" w14:paraId="074C0435" w14:textId="77777777">
      <w:pPr>
        <w:pStyle w:val="Heading13"/>
      </w:pPr>
      <w:r w:rsidRPr="00B3292E">
        <w:t>2019</w:t>
      </w:r>
    </w:p>
    <w:p w:rsidR="00B3292E" w:rsidRPr="00B3292E" w:rsidP="00B3292E" w14:paraId="0A4A1EBA" w14:textId="77777777">
      <w:pPr>
        <w:pStyle w:val="Bodytext2"/>
      </w:pPr>
    </w:p>
    <w:tbl>
      <w:tblPr>
        <w:tblStyle w:val="TableNormal"/>
        <w:tblCaption w:val="table_45_provisions_pre"/>
        <w:tblDescription w:val="2020"/>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Litigation</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Warranties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Onerous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contracts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Restruc-</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turing</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Other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provisions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Provisions on 1 January 2019</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172</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67</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Used provisions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Released provisions</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Provisions on 31 December 2019</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174</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strike w:val="0"/>
                <w:color w:val="80008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278</w:t>
            </w:r>
          </w:p>
        </w:tc>
      </w:tr>
    </w:tbl>
    <w:p/>
    <w:p w:rsidR="00167B0C" w:rsidP="00167B0C" w14:paraId="5CBA4FC4" w14:textId="77777777">
      <w:pPr>
        <w:pStyle w:val="Heading12"/>
      </w:pPr>
      <w:bookmarkStart w:id="1174" w:name="RG_MARKER_4181"/>
      <w:r>
        <w:t>4.6. DEFERRED TAXES</w:t>
      </w:r>
      <w:bookmarkEnd w:id="1174"/>
    </w:p>
    <w:tbl>
      <w:tblPr>
        <w:tblStyle w:val="TableGrid"/>
        <w:tblW w:w="7371" w:type="dxa"/>
        <w:tblLook w:val="04A0"/>
      </w:tblPr>
      <w:tblGrid>
        <w:gridCol w:w="7371"/>
      </w:tblGrid>
      <w:tr w14:paraId="2881C8FD" w14:textId="77777777" w:rsidTr="00167B0C">
        <w:tblPrEx>
          <w:tblW w:w="7371" w:type="dxa"/>
          <w:tblLook w:val="04A0"/>
        </w:tblPrEx>
        <w:tc>
          <w:tcPr>
            <w:tcW w:w="6683" w:type="dxa"/>
            <w:tcBorders>
              <w:top w:val="nil"/>
              <w:left w:val="nil"/>
              <w:bottom w:val="nil"/>
              <w:right w:val="nil"/>
            </w:tcBorders>
            <w:shd w:val="clear" w:color="auto" w:fill="B6C8D1"/>
          </w:tcPr>
          <w:p w:rsidR="00167B0C" w:rsidRPr="00583982" w:rsidP="00167B0C" w14:paraId="7292EE36" w14:textId="77777777">
            <w:pPr>
              <w:pStyle w:val="Heading13"/>
              <w:rPr>
                <w:lang w:val="en-GB"/>
              </w:rPr>
            </w:pPr>
            <w:r w:rsidRPr="00583982">
              <w:rPr>
                <w:lang w:val="en-GB"/>
              </w:rPr>
              <w:t>Accounting principles</w:t>
            </w:r>
          </w:p>
          <w:p w:rsidR="00167B0C" w:rsidRPr="00583982" w:rsidP="00167B0C" w14:paraId="09C98FEC" w14:textId="00BF6F9A">
            <w:pPr>
              <w:pStyle w:val="Bodytext2"/>
              <w:rPr>
                <w:lang w:val="en-GB"/>
              </w:rPr>
            </w:pPr>
            <w:r w:rsidRPr="00583982">
              <w:rPr>
                <w:lang w:val="en-GB"/>
              </w:rPr>
              <w:t>Deferred tax liabilities and assets are calculated on temporary differences arising from the difference between the tax basis of assets and liabilities</w:t>
            </w:r>
            <w:r>
              <w:rPr>
                <w:lang w:val="en-GB"/>
              </w:rPr>
              <w:t>,</w:t>
            </w:r>
            <w:r w:rsidRPr="00583982">
              <w:rPr>
                <w:lang w:val="en-GB"/>
              </w:rPr>
              <w:t xml:space="preserve"> and the carrying values</w:t>
            </w:r>
            <w:r w:rsidRPr="00583982">
              <w:rPr>
                <w:lang w:val="en-GB"/>
              </w:rPr>
              <w:t xml:space="preserve"> using the enacted or substantially enacted tax rates at the end of the </w:t>
            </w:r>
            <w:r>
              <w:rPr>
                <w:lang w:val="en-GB"/>
              </w:rPr>
              <w:t>reporting</w:t>
            </w:r>
            <w:r w:rsidRPr="00583982">
              <w:rPr>
                <w:lang w:val="en-GB"/>
              </w:rPr>
              <w:t xml:space="preserve"> period. The statement of financial position includes deferred tax liabilities in their entirety and deferred tax assets at their estimated probable amount.</w:t>
            </w:r>
          </w:p>
          <w:p w:rsidR="00167B0C" w:rsidRPr="00583982" w:rsidP="00167B0C" w14:paraId="14A2FF6B" w14:textId="77777777">
            <w:pPr>
              <w:pStyle w:val="Bodytext2"/>
              <w:rPr>
                <w:lang w:val="en-GB"/>
              </w:rPr>
            </w:pPr>
          </w:p>
          <w:p w:rsidR="00167B0C" w:rsidRPr="00583982" w:rsidP="00167B0C" w14:paraId="4C2D6591" w14:textId="3EEF1184">
            <w:pPr>
              <w:pStyle w:val="Bodytext2"/>
              <w:rPr>
                <w:lang w:val="en-GB"/>
              </w:rPr>
            </w:pPr>
            <w:r w:rsidRPr="00583982">
              <w:rPr>
                <w:lang w:val="en-GB"/>
              </w:rPr>
              <w:t>Deferred tax asse</w:t>
            </w:r>
            <w:r w:rsidRPr="00583982">
              <w:rPr>
                <w:lang w:val="en-GB"/>
              </w:rPr>
              <w:t>ts and liabilities are offset when there is a legally enforceable right to offset current tax assets against current tax liabilities, and when the deferred tax assets and liabilities relate to income taxes levied by the same taxation authority on either th</w:t>
            </w:r>
            <w:r w:rsidRPr="00583982">
              <w:rPr>
                <w:lang w:val="en-GB"/>
              </w:rPr>
              <w:t>e same taxable entity</w:t>
            </w:r>
            <w:r>
              <w:rPr>
                <w:lang w:val="en-GB"/>
              </w:rPr>
              <w:t>,</w:t>
            </w:r>
            <w:r w:rsidRPr="00583982">
              <w:rPr>
                <w:lang w:val="en-GB"/>
              </w:rPr>
              <w:t xml:space="preserve"> or different taxable entities which intend to settle the balances on a net basis.</w:t>
            </w:r>
          </w:p>
          <w:p w:rsidR="00167B0C" w:rsidRPr="00583982" w:rsidP="00167B0C" w14:paraId="049E4046" w14:textId="77777777">
            <w:pPr>
              <w:pStyle w:val="Bodytext2"/>
              <w:rPr>
                <w:lang w:val="en-GB"/>
              </w:rPr>
            </w:pPr>
          </w:p>
          <w:p w:rsidR="00167B0C" w:rsidRPr="00583982" w:rsidP="00167B0C" w14:paraId="461473AD" w14:textId="77777777">
            <w:pPr>
              <w:pStyle w:val="Heading13"/>
              <w:rPr>
                <w:lang w:val="en-GB"/>
              </w:rPr>
            </w:pPr>
            <w:r w:rsidRPr="00583982">
              <w:rPr>
                <w:lang w:val="en-GB"/>
              </w:rPr>
              <w:t>Accounting estimates and judgements</w:t>
            </w:r>
          </w:p>
          <w:p w:rsidR="00167B0C" w:rsidRPr="00862C1F" w:rsidP="00167B0C" w14:paraId="19A6A12C" w14:textId="77777777">
            <w:pPr>
              <w:pStyle w:val="Bodytext2"/>
              <w:rPr>
                <w:lang w:val="en-GB"/>
              </w:rPr>
            </w:pPr>
            <w:r w:rsidRPr="00583982">
              <w:rPr>
                <w:lang w:val="en-GB"/>
              </w:rPr>
              <w:t>Estimates of tax liabilities and receivables relate mainly to the expected result of ongoing tax audits, and to th</w:t>
            </w:r>
            <w:r w:rsidRPr="00583982">
              <w:rPr>
                <w:lang w:val="en-GB"/>
              </w:rPr>
              <w:t>e recognition of deferred tax receivables from tax losses. Deferred tax assets on unutilised tax losses and other temporary differences are recognised to the extent it is highly probable that taxable profit is available. No deferred tax assets are recognis</w:t>
            </w:r>
            <w:r w:rsidRPr="00583982">
              <w:rPr>
                <w:lang w:val="en-GB"/>
              </w:rPr>
              <w:t>ed from tax losses when there is uncertainty of their utilisation.</w:t>
            </w:r>
          </w:p>
        </w:tc>
      </w:tr>
      <w:tr w14:paraId="56B0F4C1" w14:textId="77777777" w:rsidTr="00167B0C">
        <w:tblPrEx>
          <w:tblW w:w="7371" w:type="dxa"/>
          <w:tblLook w:val="04A0"/>
        </w:tblPrEx>
        <w:tc>
          <w:tcPr>
            <w:tcW w:w="6683" w:type="dxa"/>
            <w:tcBorders>
              <w:top w:val="nil"/>
              <w:left w:val="nil"/>
              <w:bottom w:val="nil"/>
              <w:right w:val="nil"/>
            </w:tcBorders>
            <w:shd w:val="clear" w:color="auto" w:fill="B6C8D1"/>
          </w:tcPr>
          <w:p w:rsidR="00167B0C" w:rsidRPr="00862C1F" w:rsidP="00167B0C" w14:paraId="160847A3" w14:textId="77777777">
            <w:pPr>
              <w:pStyle w:val="Bodytext2"/>
              <w:rPr>
                <w:highlight w:val="yellow"/>
                <w:lang w:val="en-GB"/>
              </w:rPr>
            </w:pPr>
          </w:p>
        </w:tc>
      </w:tr>
    </w:tbl>
    <w:p w:rsidR="00167B0C" w:rsidRPr="00167B0C" w:rsidP="00167B0C" w14:paraId="5DAA8753" w14:textId="77777777">
      <w:pPr>
        <w:pStyle w:val="Bodytext2"/>
      </w:pPr>
    </w:p>
    <w:p w:rsidR="00167B0C" w:rsidRPr="00167B0C" w:rsidP="00167B0C" w14:paraId="7216549D" w14:textId="77777777">
      <w:pPr>
        <w:pStyle w:val="Heading13"/>
      </w:pPr>
      <w:r w:rsidRPr="00167B0C">
        <w:t>Changes in deferred taxes during 2020</w:t>
      </w:r>
    </w:p>
    <w:tbl>
      <w:tblPr>
        <w:tblStyle w:val="TableNormal"/>
        <w:tblCaption w:val="table_current_deferred_taxes"/>
        <w:tblDescription w:val="24. Deferred taxe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hRule="exact" w:val="255"/>
        </w:trPr>
        <w:tc>
          <w:tcPr>
            <w:tcW w:w="213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 January 2020</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Recog-</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nised in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the con-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solidated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statement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income</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Other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compre-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hensive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income</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Transla-</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tion dif-</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ferences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Acquisi-</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tions 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disposals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 December 2020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Deferred tax assets</w:t>
            </w: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 loss carry-forwards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Pension obligations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Provisions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Elimination of intragroup margin in inventories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reserve</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temporary differences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 to assets held for sale</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155</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Deferred tax liabilities</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Intangible assets and property, plant and equipment</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59</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reserve</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temporary differences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 to assets held for sale</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83</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deferred tax assets/liabilities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72</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w:t>
            </w:r>
          </w:p>
        </w:tc>
      </w:tr>
    </w:tbl>
    <w:p w:rsidR="00167B0C" w:rsidRPr="00167B0C" w:rsidP="00167B0C" w14:paraId="1E3EBCED" w14:textId="77777777">
      <w:pPr>
        <w:pStyle w:val="Bodytext2"/>
      </w:pPr>
    </w:p>
    <w:p w:rsidR="00167B0C" w:rsidRPr="00167B0C" w:rsidP="00167B0C" w14:paraId="67E2A36A" w14:textId="747FDD53">
      <w:pPr>
        <w:pStyle w:val="Bodytext2"/>
      </w:pPr>
      <w:r w:rsidRPr="00167B0C">
        <w:t>On 31 December 2020, the Group had temporary differences on which no deferred tax assets were booked</w:t>
      </w:r>
      <w:r>
        <w:t>,</w:t>
      </w:r>
      <w:r w:rsidRPr="00167B0C">
        <w:t xml:space="preserve"> totalling </w:t>
      </w:r>
      <w:r w:rsidRPr="00167B0C">
        <w:t xml:space="preserve">EUR </w:t>
      </w:r>
      <w:r>
        <w:t>68</w:t>
      </w:r>
      <w:r w:rsidRPr="00167B0C">
        <w:t xml:space="preserve"> million (64), as it is uncertain if they will be realised. Most of the unrecognised deferred tax assets are related to cumulative tax losses. Of these, EUR </w:t>
      </w:r>
      <w:r>
        <w:t>19</w:t>
      </w:r>
      <w:r w:rsidRPr="00167B0C">
        <w:t xml:space="preserve"> million (29) will expire within the next five years and the rest will expire later or neve</w:t>
      </w:r>
      <w:r w:rsidRPr="00167B0C">
        <w:t>r. Most of the cumulative tax losses on which deferred tax assets have been booked will never expire.</w:t>
      </w:r>
    </w:p>
    <w:p w:rsidR="00167B0C" w:rsidRPr="00167B0C" w:rsidP="00167B0C" w14:paraId="7CA4191B" w14:textId="77777777">
      <w:pPr>
        <w:pStyle w:val="Bodytext2"/>
      </w:pPr>
    </w:p>
    <w:p w:rsidR="00167B0C" w:rsidRPr="00167B0C" w:rsidP="00167B0C" w14:paraId="3E642DD3" w14:textId="77777777">
      <w:pPr>
        <w:pStyle w:val="Heading13"/>
      </w:pPr>
      <w:r w:rsidRPr="00167B0C">
        <w:t>Changes in deferred taxes during 2019</w:t>
      </w:r>
    </w:p>
    <w:tbl>
      <w:tblPr>
        <w:tblStyle w:val="TableNormal"/>
        <w:tblCaption w:val="table_previous_deferred_taxe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hRule="exact" w:val="225"/>
        </w:trPr>
        <w:tc>
          <w:tcPr>
            <w:tcW w:w="213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nil"/>
              <w:left w:val="nil"/>
              <w:bottom w:val="single" w:sz="4" w:space="0" w:color="000000"/>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4" w:space="0" w:color="000000"/>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 January 2019</w:t>
            </w:r>
          </w:p>
        </w:tc>
        <w:tc>
          <w:tcPr>
            <w:tcW w:w="870" w:type="dxa"/>
            <w:tcBorders>
              <w:top w:val="nil"/>
              <w:left w:val="nil"/>
              <w:bottom w:val="single" w:sz="4" w:space="0" w:color="000000"/>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Recog-</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nised in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the con-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solidated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statement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income</w:t>
            </w:r>
          </w:p>
        </w:tc>
        <w:tc>
          <w:tcPr>
            <w:tcW w:w="870" w:type="dxa"/>
            <w:tcBorders>
              <w:top w:val="nil"/>
              <w:left w:val="nil"/>
              <w:bottom w:val="single" w:sz="4" w:space="0" w:color="000000"/>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Other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compre-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hensive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income</w:t>
            </w:r>
          </w:p>
        </w:tc>
        <w:tc>
          <w:tcPr>
            <w:tcW w:w="870" w:type="dxa"/>
            <w:tcBorders>
              <w:top w:val="nil"/>
              <w:left w:val="nil"/>
              <w:bottom w:val="single" w:sz="4" w:space="0" w:color="000000"/>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Transla-</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tion dif-</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ferences</w:t>
            </w:r>
          </w:p>
        </w:tc>
        <w:tc>
          <w:tcPr>
            <w:tcW w:w="870" w:type="dxa"/>
            <w:tcBorders>
              <w:top w:val="nil"/>
              <w:left w:val="nil"/>
              <w:bottom w:val="single" w:sz="4" w:space="0" w:color="000000"/>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Acquisi-</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tions</w:t>
            </w:r>
          </w:p>
        </w:tc>
        <w:tc>
          <w:tcPr>
            <w:tcW w:w="870" w:type="dxa"/>
            <w:tcBorders>
              <w:top w:val="nil"/>
              <w:left w:val="nil"/>
              <w:bottom w:val="single" w:sz="4" w:space="0" w:color="000000"/>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 December 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0000"/>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Deferred tax assets</w:t>
            </w:r>
          </w:p>
        </w:tc>
        <w:tc>
          <w:tcPr>
            <w:tcW w:w="870" w:type="dxa"/>
            <w:tcBorders>
              <w:top w:val="single" w:sz="4" w:space="0" w:color="000000"/>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0000"/>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0000"/>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0000"/>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0000"/>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0000"/>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 loss carry-forwards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Pension obligations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Provisions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Elimination of intragroup margin in inventories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reserve</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temporary differences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 to assets held for sale</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129</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87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Deferred tax liabilities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Intangible assets and property, plant and equipment</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66</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reserve</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temporary differences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 to assets held for sale</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99</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deferred tax assets/liabilities</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w:t>
            </w:r>
          </w:p>
        </w:tc>
      </w:tr>
    </w:tbl>
    <w:p/>
    <w:p w:rsidR="0038059B" w:rsidP="0038059B" w14:paraId="29223BEC" w14:textId="77777777">
      <w:pPr>
        <w:pStyle w:val="Heading12"/>
      </w:pPr>
      <w:bookmarkStart w:id="1175" w:name="RG_MARKER_4182"/>
      <w:r>
        <w:t>4.7. PENSION OBLIGATIONS</w:t>
      </w:r>
      <w:bookmarkEnd w:id="1175"/>
    </w:p>
    <w:tbl>
      <w:tblPr>
        <w:tblStyle w:val="TableGrid"/>
        <w:tblW w:w="7371" w:type="dxa"/>
        <w:tblLook w:val="04A0"/>
      </w:tblPr>
      <w:tblGrid>
        <w:gridCol w:w="7371"/>
      </w:tblGrid>
      <w:tr w14:paraId="26440DE4" w14:textId="77777777" w:rsidTr="0038059B">
        <w:tblPrEx>
          <w:tblW w:w="7371" w:type="dxa"/>
          <w:tblLook w:val="04A0"/>
        </w:tblPrEx>
        <w:tc>
          <w:tcPr>
            <w:tcW w:w="6683" w:type="dxa"/>
            <w:tcBorders>
              <w:top w:val="nil"/>
              <w:left w:val="nil"/>
              <w:bottom w:val="nil"/>
              <w:right w:val="nil"/>
            </w:tcBorders>
            <w:shd w:val="clear" w:color="auto" w:fill="B6C8D1"/>
          </w:tcPr>
          <w:p w:rsidR="0038059B" w:rsidRPr="007A6516" w:rsidP="0038059B" w14:paraId="2161A0A8" w14:textId="77777777">
            <w:pPr>
              <w:pStyle w:val="Heading13"/>
              <w:rPr>
                <w:lang w:val="en-GB"/>
              </w:rPr>
            </w:pPr>
            <w:r w:rsidRPr="007A6516">
              <w:rPr>
                <w:lang w:val="en-GB"/>
              </w:rPr>
              <w:t>Accounting principles</w:t>
            </w:r>
          </w:p>
          <w:p w:rsidR="0038059B" w:rsidRPr="007A6516" w:rsidP="0038059B" w14:paraId="395D114B" w14:textId="444A7699">
            <w:pPr>
              <w:pStyle w:val="Bodytext2"/>
              <w:rPr>
                <w:lang w:val="en-GB"/>
              </w:rPr>
            </w:pPr>
            <w:r w:rsidRPr="007A6516">
              <w:rPr>
                <w:lang w:val="en-GB"/>
              </w:rPr>
              <w:t>Group companies in different countries have various pension plans in accordance with local conditions and practices. These pension plans are classified either as defined contribution or defined benefit plans.</w:t>
            </w:r>
          </w:p>
          <w:p w:rsidR="0038059B" w:rsidRPr="007A6516" w:rsidP="0038059B" w14:paraId="426D2FEE" w14:textId="77777777">
            <w:pPr>
              <w:pStyle w:val="Bodytext2"/>
              <w:rPr>
                <w:lang w:val="en-GB"/>
              </w:rPr>
            </w:pPr>
          </w:p>
          <w:p w:rsidR="0038059B" w:rsidRPr="007A6516" w:rsidP="0038059B" w14:paraId="71D49473" w14:textId="01EA91E9">
            <w:pPr>
              <w:pStyle w:val="Bodytext2"/>
              <w:rPr>
                <w:lang w:val="en-GB"/>
              </w:rPr>
            </w:pPr>
            <w:r w:rsidRPr="007A6516">
              <w:rPr>
                <w:lang w:val="en-GB"/>
              </w:rPr>
              <w:t>Defined benefit plans are funded through contr</w:t>
            </w:r>
            <w:r w:rsidRPr="007A6516">
              <w:rPr>
                <w:lang w:val="en-GB"/>
              </w:rPr>
              <w:t>ibutions to pension funds or pension insurance companies. Defined benefit plans may be unfunded or wholly or partly funded. The present value of the obligation arising from the defined benefit plans is determined per each plan using actuarial techniques, t</w:t>
            </w:r>
            <w:r w:rsidRPr="007A6516">
              <w:rPr>
                <w:lang w:val="en-GB"/>
              </w:rPr>
              <w:t>he projected unit credit method. The Group recognises the defined benefit obligation</w:t>
            </w:r>
            <w:r w:rsidR="007A6516">
              <w:rPr>
                <w:lang w:val="en-GB"/>
              </w:rPr>
              <w:t>,</w:t>
            </w:r>
            <w:r w:rsidRPr="007A6516">
              <w:rPr>
                <w:lang w:val="en-GB"/>
              </w:rPr>
              <w:t xml:space="preserve"> net of fair value of the plan assets</w:t>
            </w:r>
            <w:r w:rsidR="007A6516">
              <w:rPr>
                <w:lang w:val="en-GB"/>
              </w:rPr>
              <w:t>,</w:t>
            </w:r>
            <w:r w:rsidRPr="007A6516">
              <w:rPr>
                <w:lang w:val="en-GB"/>
              </w:rPr>
              <w:t xml:space="preserve"> at the end of the financial period.</w:t>
            </w:r>
          </w:p>
          <w:p w:rsidR="0038059B" w:rsidRPr="007A6516" w:rsidP="0038059B" w14:paraId="034FFB90" w14:textId="77777777">
            <w:pPr>
              <w:pStyle w:val="Bodytext2"/>
              <w:rPr>
                <w:lang w:val="en-GB"/>
              </w:rPr>
            </w:pPr>
          </w:p>
          <w:p w:rsidR="0038059B" w:rsidRPr="007A6516" w:rsidP="0038059B" w14:paraId="2E72797D" w14:textId="6BF63FD2">
            <w:pPr>
              <w:pStyle w:val="Bodytext2"/>
              <w:rPr>
                <w:lang w:val="en-GB"/>
              </w:rPr>
            </w:pPr>
            <w:r w:rsidRPr="007A6516">
              <w:rPr>
                <w:lang w:val="en-GB"/>
              </w:rPr>
              <w:t>Actuarial gains and losses and other re</w:t>
            </w:r>
            <w:r w:rsidR="007A6516">
              <w:rPr>
                <w:lang w:val="en-GB"/>
              </w:rPr>
              <w:t>-</w:t>
            </w:r>
            <w:r w:rsidRPr="007A6516">
              <w:rPr>
                <w:lang w:val="en-GB"/>
              </w:rPr>
              <w:t xml:space="preserve">measurements of the net defined benefit obligation are </w:t>
            </w:r>
            <w:r w:rsidRPr="007A6516">
              <w:rPr>
                <w:lang w:val="en-GB"/>
              </w:rPr>
              <w:t>recognised immediately in the statement of other comprehensive income. Current service cost is the present value of the post</w:t>
            </w:r>
            <w:r w:rsidR="007A6516">
              <w:rPr>
                <w:lang w:val="en-GB"/>
              </w:rPr>
              <w:t>-</w:t>
            </w:r>
            <w:r w:rsidRPr="007A6516">
              <w:rPr>
                <w:lang w:val="en-GB"/>
              </w:rPr>
              <w:t>employment benefit, which is earned by the employees during the year. The Group determines the net interest expense on the net defi</w:t>
            </w:r>
            <w:r w:rsidRPr="007A6516">
              <w:rPr>
                <w:lang w:val="en-GB"/>
              </w:rPr>
              <w:t>ned benefit plan by applying the discount rate used to measure the defined benefit obligation. Service cost is recognised in employee benefit expenses and the net interest in financial expenses. The defined benefit plans are calculated by qualified actuari</w:t>
            </w:r>
            <w:r w:rsidRPr="007A6516">
              <w:rPr>
                <w:lang w:val="en-GB"/>
              </w:rPr>
              <w:t>es.</w:t>
            </w:r>
          </w:p>
          <w:p w:rsidR="0038059B" w:rsidRPr="007A6516" w:rsidP="0038059B" w14:paraId="78AB7066" w14:textId="77777777">
            <w:pPr>
              <w:pStyle w:val="Bodytext2"/>
              <w:rPr>
                <w:lang w:val="en-GB"/>
              </w:rPr>
            </w:pPr>
          </w:p>
          <w:p w:rsidR="0038059B" w:rsidRPr="007A6516" w:rsidP="0038059B" w14:paraId="6403EE8A" w14:textId="29ECE33B">
            <w:pPr>
              <w:pStyle w:val="Bodytext2"/>
              <w:rPr>
                <w:lang w:val="en-GB"/>
              </w:rPr>
            </w:pPr>
            <w:r w:rsidRPr="007A6516">
              <w:rPr>
                <w:lang w:val="en-GB"/>
              </w:rPr>
              <w:t>In addition to defined benefit plans, Wärtsilä has other long-term employee benefits</w:t>
            </w:r>
            <w:r w:rsidR="007A6516">
              <w:rPr>
                <w:lang w:val="en-GB"/>
              </w:rPr>
              <w:t xml:space="preserve">, which </w:t>
            </w:r>
            <w:r w:rsidRPr="007A6516">
              <w:rPr>
                <w:lang w:val="en-GB"/>
              </w:rPr>
              <w:t xml:space="preserve">are presented separately from the defined benefit plans. </w:t>
            </w:r>
            <w:r w:rsidR="007A6516">
              <w:rPr>
                <w:lang w:val="en-GB"/>
              </w:rPr>
              <w:t xml:space="preserve">As with </w:t>
            </w:r>
            <w:r w:rsidRPr="007A6516">
              <w:rPr>
                <w:lang w:val="en-GB"/>
              </w:rPr>
              <w:t>the accounting for a defined benefit plan, for any other long-term benefit the Group recognise</w:t>
            </w:r>
            <w:r w:rsidRPr="007A6516">
              <w:rPr>
                <w:lang w:val="en-GB"/>
              </w:rPr>
              <w:t>s a liability for the obligation</w:t>
            </w:r>
            <w:r w:rsidR="007A6516">
              <w:rPr>
                <w:lang w:val="en-GB"/>
              </w:rPr>
              <w:t>,</w:t>
            </w:r>
            <w:r w:rsidRPr="007A6516">
              <w:rPr>
                <w:lang w:val="en-GB"/>
              </w:rPr>
              <w:t xml:space="preserve"> net of the fair value of</w:t>
            </w:r>
            <w:r w:rsidR="007A6516">
              <w:rPr>
                <w:lang w:val="en-GB"/>
              </w:rPr>
              <w:t xml:space="preserve"> the</w:t>
            </w:r>
            <w:r w:rsidRPr="007A6516">
              <w:rPr>
                <w:lang w:val="en-GB"/>
              </w:rPr>
              <w:t xml:space="preserve"> plan assets, if any. Changes in other long-term employee benefits are recognised in the statement of income.</w:t>
            </w:r>
          </w:p>
          <w:p w:rsidR="0038059B" w:rsidRPr="007A6516" w:rsidP="0038059B" w14:paraId="05E31D25" w14:textId="13452464">
            <w:pPr>
              <w:pStyle w:val="Bodytext2"/>
              <w:rPr>
                <w:lang w:val="en-GB"/>
              </w:rPr>
            </w:pPr>
          </w:p>
          <w:p w:rsidR="00351049" w:rsidRPr="007A6516" w:rsidP="0038059B" w14:paraId="5E91D509" w14:textId="7D5CA743">
            <w:pPr>
              <w:pStyle w:val="Bodytext2"/>
              <w:rPr>
                <w:lang w:val="en-GB"/>
              </w:rPr>
            </w:pPr>
            <w:r w:rsidRPr="007A6516">
              <w:rPr>
                <w:lang w:val="en-GB"/>
              </w:rPr>
              <w:t>Accounting principles for defined contribution plans are presented in Note 2.5. Emp</w:t>
            </w:r>
            <w:r w:rsidRPr="007A6516">
              <w:rPr>
                <w:lang w:val="en-GB"/>
              </w:rPr>
              <w:t>loyee benefit expenses.</w:t>
            </w:r>
          </w:p>
          <w:p w:rsidR="00351049" w:rsidRPr="007A6516" w:rsidP="0038059B" w14:paraId="63CB8277" w14:textId="77777777">
            <w:pPr>
              <w:pStyle w:val="Bodytext2"/>
              <w:rPr>
                <w:lang w:val="en-GB"/>
              </w:rPr>
            </w:pPr>
          </w:p>
          <w:p w:rsidR="0038059B" w:rsidRPr="007A6516" w:rsidP="0038059B" w14:paraId="74E1D554" w14:textId="77777777">
            <w:pPr>
              <w:pStyle w:val="Heading13"/>
              <w:rPr>
                <w:lang w:val="en-GB"/>
              </w:rPr>
            </w:pPr>
            <w:r w:rsidRPr="007A6516">
              <w:rPr>
                <w:lang w:val="en-GB"/>
              </w:rPr>
              <w:t>Accounting estimates and judgements</w:t>
            </w:r>
          </w:p>
          <w:p w:rsidR="0038059B" w:rsidP="0038059B" w14:paraId="16C1DCE5" w14:textId="4DD8F341">
            <w:pPr>
              <w:pStyle w:val="Bodytext2"/>
              <w:rPr>
                <w:color w:val="auto"/>
                <w:lang w:val="en-US"/>
              </w:rPr>
            </w:pPr>
            <w:r w:rsidRPr="007A6516">
              <w:rPr>
                <w:lang w:val="en-US"/>
              </w:rPr>
              <w:t>Estimates of pension obligations regarding each defined benefit plan are based on actuarial estimates of factors</w:t>
            </w:r>
            <w:r w:rsidR="007A6516">
              <w:rPr>
                <w:lang w:val="en-US"/>
              </w:rPr>
              <w:t>,</w:t>
            </w:r>
            <w:r w:rsidRPr="007A6516">
              <w:rPr>
                <w:lang w:val="en-US"/>
              </w:rPr>
              <w:t xml:space="preserve"> including future salary increases, discount rates, and return on plan assets. Cha</w:t>
            </w:r>
            <w:r w:rsidRPr="007A6516">
              <w:rPr>
                <w:lang w:val="en-US"/>
              </w:rPr>
              <w:t>nges in these assumptions can significantly affect the Group’s pension obligations and pension costs.</w:t>
            </w:r>
          </w:p>
        </w:tc>
      </w:tr>
    </w:tbl>
    <w:p w:rsidR="0038059B" w:rsidP="0038059B" w14:paraId="1BD5AF5C" w14:textId="77777777">
      <w:pPr>
        <w:pStyle w:val="Bodytext2"/>
      </w:pPr>
    </w:p>
    <w:tbl>
      <w:tblPr>
        <w:tblStyle w:val="TableNormal"/>
        <w:tblCaption w:val="table_employee_liabilities"/>
        <w:tblW w:w="7365" w:type="dxa"/>
        <w:tblLayout w:type="fixed"/>
        <w:tblLook w:val="0600"/>
      </w:tblPr>
      <w:tblGrid>
        <w:gridCol w:w="4125"/>
        <w:gridCol w:w="1080"/>
        <w:gridCol w:w="1080"/>
        <w:gridCol w:w="1080"/>
      </w:tblGrid>
      <w:tr>
        <w:tblPrEx>
          <w:tblW w:w="7365" w:type="dxa"/>
          <w:tblLayout w:type="fixed"/>
          <w:tblLook w:val="0600"/>
        </w:tblPrEx>
        <w:trPr>
          <w:trHeight w:val="240"/>
        </w:trPr>
        <w:tc>
          <w:tcPr>
            <w:tcW w:w="4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8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Net defined benefit liabilities on 31 December</w:t>
            </w:r>
          </w:p>
        </w:tc>
        <w:tc>
          <w:tcPr>
            <w:tcW w:w="108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139</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205" w:type="dxa"/>
            <w:gridSpan w:val="2"/>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Liability for other long-term employee benefits on 31 December</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r>
    </w:tbl>
    <w:p w:rsidR="0038059B" w:rsidP="0038059B" w14:paraId="10B9B606" w14:textId="77777777">
      <w:pPr>
        <w:pStyle w:val="Bodytext2"/>
      </w:pPr>
    </w:p>
    <w:p w:rsidR="0038059B" w:rsidP="0038059B" w14:paraId="3F88B15D" w14:textId="10B0B4CF">
      <w:pPr>
        <w:pStyle w:val="Bodytext2"/>
      </w:pPr>
      <w:r>
        <w:t xml:space="preserve">Wärtsilä has defined benefit plans for its employees mainly in Europe and Asia. The major plans </w:t>
      </w:r>
      <w:r>
        <w:t>are located in</w:t>
      </w:r>
      <w:r>
        <w:t xml:space="preserve"> Switzerl</w:t>
      </w:r>
      <w:r>
        <w:t>and, Germany, United Kingdom and Sweden. The Swiss defined benefit plan accounts for 32% of the Group's total defined benefit obligations and 56% of the plans' assets. Most of the plans provide a lifetime pension to the members at the normal retirement age</w:t>
      </w:r>
      <w:r w:rsidR="007A6516">
        <w:t>,</w:t>
      </w:r>
      <w:r>
        <w:t xml:space="preserve"> but there are also plans</w:t>
      </w:r>
      <w:r w:rsidR="007A6516">
        <w:t xml:space="preserve"> that</w:t>
      </w:r>
      <w:r>
        <w:t xml:space="preserve"> provide a lump sum payment at the retirement date. Most of these defined benefit pension plans are managed by pension funds. Their assets are not included in the Group's assets. The plans' assets are typically invested accor</w:t>
      </w:r>
      <w:r>
        <w:t>ding to the investment strategies approved by the funds' Board of Trustees, or in some cases are completely administered by insurance companies. Wärtsilä Group companies make their payments to pension funds in accordance with</w:t>
      </w:r>
      <w:r w:rsidR="007A6516">
        <w:t xml:space="preserve"> </w:t>
      </w:r>
      <w:r>
        <w:t>local legislation and practice</w:t>
      </w:r>
      <w:r>
        <w:t xml:space="preserve">. </w:t>
      </w:r>
      <w:r>
        <w:t>Authorised</w:t>
      </w:r>
      <w:r>
        <w:t xml:space="preserve"> actuaries in each country have performed the actuarial calculations required for the defined benefit plans.</w:t>
      </w:r>
    </w:p>
    <w:p w:rsidR="0038059B" w:rsidP="0038059B" w14:paraId="7A090490" w14:textId="77777777">
      <w:pPr>
        <w:pStyle w:val="Bodytext2"/>
      </w:pPr>
    </w:p>
    <w:p w:rsidR="0038059B" w:rsidP="0038059B" w14:paraId="470108F7" w14:textId="77777777">
      <w:pPr>
        <w:pStyle w:val="Heading13"/>
      </w:pPr>
      <w:r>
        <w:t>The Swiss plan</w:t>
      </w:r>
    </w:p>
    <w:p w:rsidR="0038059B" w:rsidP="0038059B" w14:paraId="0DC1C0ED" w14:textId="7379A810">
      <w:pPr>
        <w:pStyle w:val="Bodytext2"/>
      </w:pPr>
      <w:r>
        <w:t xml:space="preserve">Wärtsilä operates a defined benefit plan in Switzerland in accordance with the local pension laws and </w:t>
      </w:r>
      <w:r>
        <w:t>regulations. The plan provides benefits to the members in the form of a pension payable after retirement. The level of benefits provided depends on the accrued retirement savings capital, which is a result of contributions paid up to retirement plus respec</w:t>
      </w:r>
      <w:r>
        <w:t>tive interest. The plan is run as a pension fund by the Board of Trustees separately from the company.</w:t>
      </w:r>
    </w:p>
    <w:p w:rsidR="0038059B" w:rsidP="0038059B" w14:paraId="5D130BBA" w14:textId="77777777">
      <w:pPr>
        <w:pStyle w:val="Bodytext2"/>
      </w:pPr>
    </w:p>
    <w:p w:rsidR="0038059B" w:rsidP="0038059B" w14:paraId="3EB5D149" w14:textId="3C53BCAA">
      <w:pPr>
        <w:pStyle w:val="Bodytext2"/>
      </w:pPr>
      <w:r>
        <w:t>Contributions to the plan are paid both by the employees</w:t>
      </w:r>
      <w:r w:rsidR="007A6516">
        <w:t>,</w:t>
      </w:r>
      <w:r>
        <w:t xml:space="preserve"> as well as by the employers based on a percentage of the insured salary as defined in the pens</w:t>
      </w:r>
      <w:r>
        <w:t>ion fund regulations. Contributions by the employers vary depending on the age of the employee</w:t>
      </w:r>
      <w:r w:rsidR="007A6516">
        <w:t>,</w:t>
      </w:r>
      <w:r>
        <w:t xml:space="preserve"> and cover on average two thirds of the total contributions.</w:t>
      </w:r>
    </w:p>
    <w:p w:rsidR="0038059B" w:rsidP="0038059B" w14:paraId="602ABAE1" w14:textId="77777777">
      <w:pPr>
        <w:pStyle w:val="Bodytext2"/>
      </w:pPr>
    </w:p>
    <w:p w:rsidR="0038059B" w:rsidP="0038059B" w14:paraId="62503003" w14:textId="2CBC301B">
      <w:pPr>
        <w:pStyle w:val="Bodytext2"/>
      </w:pPr>
      <w:r>
        <w:t xml:space="preserve">The investment strategy for a pension fund's asset is the responsibility of the Board of Trustees. </w:t>
      </w:r>
      <w:r>
        <w:t xml:space="preserve">Assets are invested in accordance with the strategy and the corridors for different investment categories as defined by local laws. Other risks of the plan are </w:t>
      </w:r>
      <w:r w:rsidR="007A6516">
        <w:t xml:space="preserve">the </w:t>
      </w:r>
      <w:r>
        <w:t>longevity of plan members</w:t>
      </w:r>
      <w:r w:rsidR="007A6516">
        <w:t>,</w:t>
      </w:r>
      <w:r>
        <w:t xml:space="preserve"> as well as </w:t>
      </w:r>
      <w:r w:rsidR="007A6516">
        <w:t xml:space="preserve">the </w:t>
      </w:r>
      <w:r>
        <w:t>death or disability of employees before their reti</w:t>
      </w:r>
      <w:r>
        <w:t xml:space="preserve">rement. The pension plan is reinsured for the risk of death and disability until 31 December 2021. Inflationary increases for pensions in payment are at the discretion of the Board of Trustees </w:t>
      </w:r>
      <w:r w:rsidR="007A6516">
        <w:t>when</w:t>
      </w:r>
      <w:r>
        <w:t xml:space="preserve"> benefits paid by the plan are exceeding the minimum level </w:t>
      </w:r>
      <w:r>
        <w:t>required by law.</w:t>
      </w:r>
    </w:p>
    <w:p w:rsidR="0038059B" w:rsidP="0038059B" w14:paraId="394EE0F8" w14:textId="77777777">
      <w:pPr>
        <w:pStyle w:val="Bodytext2"/>
      </w:pPr>
    </w:p>
    <w:p w:rsidR="0038059B" w:rsidP="0038059B" w14:paraId="221969EE" w14:textId="77777777">
      <w:pPr>
        <w:pStyle w:val="Heading13"/>
      </w:pPr>
      <w:r>
        <w:t>The German plans</w:t>
      </w:r>
    </w:p>
    <w:p w:rsidR="0038059B" w:rsidP="0038059B" w14:paraId="44018F26" w14:textId="252289DA">
      <w:pPr>
        <w:pStyle w:val="Bodytext2"/>
      </w:pPr>
      <w:r>
        <w:t xml:space="preserve">Wärtsilä operates defined benefit plans in Germany in accordance with local pension laws and regulations. The plans provide benefits to the members in the form of a pension payable after retirement. The level of benefits </w:t>
      </w:r>
      <w:r>
        <w:t>provided depends on the accrued retirement savings capital, which is a result of contributions paid up to retirement plus respective interest. The plans vary from unfunded plans</w:t>
      </w:r>
      <w:r w:rsidR="007A6516">
        <w:t>,</w:t>
      </w:r>
      <w:r>
        <w:t xml:space="preserve"> to a plan run as a pension fund.</w:t>
      </w:r>
    </w:p>
    <w:p w:rsidR="0038059B" w:rsidP="0038059B" w14:paraId="0ADD8DC8" w14:textId="77777777">
      <w:pPr>
        <w:pStyle w:val="Bodytext2"/>
      </w:pPr>
    </w:p>
    <w:p w:rsidR="0038059B" w:rsidP="0038059B" w14:paraId="7094F77D" w14:textId="1528CB8A">
      <w:pPr>
        <w:pStyle w:val="Bodytext2"/>
      </w:pPr>
      <w:r>
        <w:t xml:space="preserve">In some of the plans, </w:t>
      </w:r>
      <w:r>
        <w:t>contributions are paid to the plan</w:t>
      </w:r>
      <w:r w:rsidR="007A6516">
        <w:t>,</w:t>
      </w:r>
      <w:r>
        <w:t xml:space="preserve"> both by the employees and the employers based on a percentage of the insured salary as defined in the pension fund regulations. However, in some plans only the employer is obliged to make the payments. Contributions by t</w:t>
      </w:r>
      <w:r>
        <w:t>he employers vary depending on the age of the employee, the duration of the employment</w:t>
      </w:r>
      <w:r w:rsidR="007A6516">
        <w:t>,</w:t>
      </w:r>
      <w:r>
        <w:t xml:space="preserve"> </w:t>
      </w:r>
      <w:r>
        <w:t>and also</w:t>
      </w:r>
      <w:r>
        <w:t xml:space="preserve"> on the position of the employee.</w:t>
      </w:r>
    </w:p>
    <w:p w:rsidR="0038059B" w:rsidP="0038059B" w14:paraId="1DE75B57" w14:textId="77777777">
      <w:pPr>
        <w:pStyle w:val="Bodytext2"/>
      </w:pPr>
    </w:p>
    <w:p w:rsidR="0038059B" w:rsidRPr="00037E46" w:rsidP="0038059B" w14:paraId="7729E6CF" w14:textId="015C1B04">
      <w:pPr>
        <w:pStyle w:val="Bodytext2"/>
        <w:rPr>
          <w:sz w:val="2"/>
          <w:szCs w:val="2"/>
        </w:rPr>
      </w:pPr>
      <w:r>
        <w:t xml:space="preserve">The main risks of the plans are </w:t>
      </w:r>
      <w:r w:rsidR="007A6516">
        <w:t xml:space="preserve">the </w:t>
      </w:r>
      <w:r>
        <w:t>longevity of plan members</w:t>
      </w:r>
      <w:r w:rsidR="007A6516">
        <w:t>,</w:t>
      </w:r>
      <w:r>
        <w:t xml:space="preserve"> and </w:t>
      </w:r>
      <w:r w:rsidR="007A6516">
        <w:t xml:space="preserve">the </w:t>
      </w:r>
      <w:r>
        <w:t>death or disability of employees before their retireme</w:t>
      </w:r>
      <w:r>
        <w:t>nt. In a funded plan,</w:t>
      </w:r>
      <w:r w:rsidR="007A6516">
        <w:t xml:space="preserve"> </w:t>
      </w:r>
      <w:r>
        <w:t xml:space="preserve">the investment strategy chosen also includes certain risk. Inflationary increases for pensions in payment are </w:t>
      </w:r>
      <w:r>
        <w:t>valuated</w:t>
      </w:r>
      <w:r>
        <w:t xml:space="preserve"> on a yearly basis.</w:t>
      </w:r>
      <w:r>
        <w:br w:type="column"/>
      </w:r>
    </w:p>
    <w:tbl>
      <w:tblPr>
        <w:tblStyle w:val="TableNormal"/>
        <w:tblCaption w:val="table_net_pension_liability"/>
        <w:tblW w:w="7365" w:type="dxa"/>
        <w:tblLayout w:type="fixed"/>
        <w:tblLook w:val="0600"/>
      </w:tblPr>
      <w:tblGrid>
        <w:gridCol w:w="4125"/>
        <w:gridCol w:w="1080"/>
        <w:gridCol w:w="1080"/>
        <w:gridCol w:w="1080"/>
      </w:tblGrid>
      <w:tr>
        <w:tblPrEx>
          <w:tblW w:w="7365" w:type="dxa"/>
          <w:tblLayout w:type="fixed"/>
          <w:tblLook w:val="0600"/>
        </w:tblPrEx>
        <w:trPr>
          <w:trHeight w:val="240"/>
        </w:trPr>
        <w:tc>
          <w:tcPr>
            <w:tcW w:w="4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8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Present value of unfunded defined benefit obligations</w:t>
            </w:r>
          </w:p>
        </w:tc>
        <w:tc>
          <w:tcPr>
            <w:tcW w:w="108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111</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Present value of funded defined benefit obligations</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180</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of plan assets</w:t>
            </w:r>
          </w:p>
        </w:tc>
        <w:tc>
          <w:tcPr>
            <w:tcW w:w="1080"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-151</w:t>
            </w: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liability in the statement of financial position</w:t>
            </w:r>
          </w:p>
        </w:tc>
        <w:tc>
          <w:tcPr>
            <w:tcW w:w="1080" w:type="dxa"/>
            <w:tcBorders>
              <w:top w:val="single" w:sz="8" w:space="0" w:color="0F172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139</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155</w:t>
            </w:r>
          </w:p>
        </w:tc>
      </w:tr>
    </w:tbl>
    <w:p w:rsidR="0038059B" w:rsidP="0038059B" w14:paraId="1BBF65D7" w14:textId="77777777">
      <w:pPr>
        <w:pStyle w:val="Bodytext2"/>
      </w:pPr>
    </w:p>
    <w:tbl>
      <w:tblPr>
        <w:tblStyle w:val="TableNormal"/>
        <w:tblCaption w:val="table_pension_percentages"/>
        <w:tblW w:w="7365" w:type="dxa"/>
        <w:tblLayout w:type="fixed"/>
        <w:tblLook w:val="0600"/>
      </w:tblPr>
      <w:tblGrid>
        <w:gridCol w:w="4125"/>
        <w:gridCol w:w="1080"/>
        <w:gridCol w:w="1080"/>
        <w:gridCol w:w="1080"/>
      </w:tblGrid>
      <w:tr>
        <w:tblPrEx>
          <w:tblW w:w="7365" w:type="dxa"/>
          <w:tblLayout w:type="fixed"/>
          <w:tblLook w:val="0600"/>
        </w:tblPrEx>
        <w:trPr>
          <w:trHeight w:val="240"/>
        </w:trPr>
        <w:tc>
          <w:tcPr>
            <w:tcW w:w="4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t>
            </w:r>
          </w:p>
        </w:tc>
        <w:tc>
          <w:tcPr>
            <w:tcW w:w="108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Present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 of</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defined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benefit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obligations</w:t>
            </w:r>
          </w:p>
        </w:tc>
        <w:tc>
          <w:tcPr>
            <w:tcW w:w="108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Fair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plan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Switzerland</w:t>
            </w:r>
          </w:p>
        </w:tc>
        <w:tc>
          <w:tcPr>
            <w:tcW w:w="108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Germany</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Europe</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Asia</w:t>
            </w: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80" w:type="dxa"/>
            <w:tcBorders>
              <w:top w:val="single" w:sz="8" w:space="0" w:color="0F172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w:t>
            </w: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w:t>
            </w:r>
          </w:p>
        </w:tc>
      </w:tr>
    </w:tbl>
    <w:p w:rsidR="0038059B" w:rsidP="0038059B" w14:paraId="1889A228" w14:textId="77777777">
      <w:pPr>
        <w:pStyle w:val="Bodytext2"/>
      </w:pPr>
    </w:p>
    <w:tbl>
      <w:tblPr>
        <w:tblStyle w:val="TableNormal"/>
        <w:tblCaption w:val="table_pension_obligations"/>
        <w:tblW w:w="7365" w:type="dxa"/>
        <w:tblLayout w:type="fixed"/>
        <w:tblLook w:val="0600"/>
      </w:tblPr>
      <w:tblGrid>
        <w:gridCol w:w="4125"/>
        <w:gridCol w:w="1080"/>
        <w:gridCol w:w="1080"/>
        <w:gridCol w:w="1080"/>
      </w:tblGrid>
      <w:tr>
        <w:tblPrEx>
          <w:tblW w:w="7365" w:type="dxa"/>
          <w:tblLayout w:type="fixed"/>
          <w:tblLook w:val="0600"/>
        </w:tblPrEx>
        <w:trPr>
          <w:trHeight w:val="240"/>
        </w:trPr>
        <w:tc>
          <w:tcPr>
            <w:tcW w:w="4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8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Present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 of</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defined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benefit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obligation</w:t>
            </w:r>
          </w:p>
        </w:tc>
        <w:tc>
          <w:tcPr>
            <w:tcW w:w="108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Fair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plan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108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defined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benefit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liability</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Balance on 1 January 2019</w:t>
            </w:r>
          </w:p>
        </w:tc>
        <w:tc>
          <w:tcPr>
            <w:tcW w:w="108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282</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-134</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Recognised in the statement of income:</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 service cost</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Gains (-) / losses (+) on curtailments and settlements</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cost (+) / interest income (-)</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Remeasurements recognised in other comprehensive income:</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Return on plan assets, excluding interest income</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Experience adjustments</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demographic assumptions</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financial assumptions</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Contribution paid by the plan members</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Contribution paid by the employer</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Benefits paid</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 to assets held for sale</w:t>
            </w: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Balance on 31 December 2019</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299</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-146</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Balance on 1 January 2020</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299</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-146</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exchange rates</w:t>
            </w:r>
          </w:p>
        </w:tc>
        <w:tc>
          <w:tcPr>
            <w:tcW w:w="108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Recognised in the statement of income:</w:t>
            </w:r>
          </w:p>
        </w:tc>
        <w:tc>
          <w:tcPr>
            <w:tcW w:w="1080" w:type="dxa"/>
            <w:tcBorders>
              <w:top w:val="nil"/>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 service cost</w:t>
            </w:r>
          </w:p>
        </w:tc>
        <w:tc>
          <w:tcPr>
            <w:tcW w:w="108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Past service cost (- credit)</w:t>
            </w:r>
          </w:p>
        </w:tc>
        <w:tc>
          <w:tcPr>
            <w:tcW w:w="108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Gains (-) / losses (+) on curtailments and settlements</w:t>
            </w:r>
          </w:p>
        </w:tc>
        <w:tc>
          <w:tcPr>
            <w:tcW w:w="108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cost (+) / interest income (-)</w:t>
            </w:r>
          </w:p>
        </w:tc>
        <w:tc>
          <w:tcPr>
            <w:tcW w:w="108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Remeasurements recognised in other comprehensive income:</w:t>
            </w: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Return on plan assets, excluding interest income</w:t>
            </w:r>
          </w:p>
        </w:tc>
        <w:tc>
          <w:tcPr>
            <w:tcW w:w="108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Experience adjustments</w:t>
            </w:r>
          </w:p>
        </w:tc>
        <w:tc>
          <w:tcPr>
            <w:tcW w:w="108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nil"/>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financial assumptions</w:t>
            </w:r>
          </w:p>
        </w:tc>
        <w:tc>
          <w:tcPr>
            <w:tcW w:w="108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1080"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Contribution paid by the plan members</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Contribution paid by the employer</w:t>
            </w: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Benefits paid</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Reclassification to assets held for sale</w:t>
            </w: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08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Balance on 31 December 2020</w:t>
            </w: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290</w:t>
            </w: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-151</w:t>
            </w: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139</w:t>
            </w:r>
          </w:p>
        </w:tc>
      </w:tr>
    </w:tbl>
    <w:p w:rsidR="0038059B" w:rsidP="0038059B" w14:paraId="75DF9B0B" w14:textId="77777777">
      <w:pPr>
        <w:pStyle w:val="Bodytext2"/>
      </w:pPr>
    </w:p>
    <w:p w:rsidR="0038059B" w:rsidP="0038059B" w14:paraId="1E4BE311" w14:textId="77777777">
      <w:pPr>
        <w:pStyle w:val="Bodytext2"/>
      </w:pPr>
    </w:p>
    <w:p w:rsidR="0038059B" w:rsidP="0038059B" w14:paraId="6052D692" w14:textId="77777777">
      <w:pPr>
        <w:pStyle w:val="Heading13"/>
      </w:pPr>
      <w:r>
        <w:t>Plan assets invested in:</w:t>
      </w:r>
    </w:p>
    <w:tbl>
      <w:tblPr>
        <w:tblStyle w:val="TableNormal"/>
        <w:tblCaption w:val="table_plan_investments"/>
        <w:tblW w:w="7365" w:type="dxa"/>
        <w:tblLayout w:type="fixed"/>
        <w:tblLook w:val="0600"/>
      </w:tblPr>
      <w:tblGrid>
        <w:gridCol w:w="4125"/>
        <w:gridCol w:w="1080"/>
        <w:gridCol w:w="1080"/>
        <w:gridCol w:w="1080"/>
      </w:tblGrid>
      <w:tr>
        <w:tblPrEx>
          <w:tblW w:w="7365" w:type="dxa"/>
          <w:tblLayout w:type="fixed"/>
          <w:tblLook w:val="0600"/>
        </w:tblPrEx>
        <w:trPr>
          <w:trHeight w:val="240"/>
        </w:trPr>
        <w:tc>
          <w:tcPr>
            <w:tcW w:w="4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t>
            </w:r>
          </w:p>
        </w:tc>
        <w:tc>
          <w:tcPr>
            <w:tcW w:w="108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Shares and other equity instruments</w:t>
            </w: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Bonds and other debt instruments</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Property</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assets</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r>
    </w:tbl>
    <w:p w:rsidR="0038059B" w:rsidP="0038059B" w14:paraId="1264766C" w14:textId="77777777">
      <w:pPr>
        <w:pStyle w:val="Bodytext2"/>
      </w:pPr>
    </w:p>
    <w:p w:rsidR="0038059B" w:rsidP="0038059B" w14:paraId="331FBB3E" w14:textId="77777777">
      <w:pPr>
        <w:pStyle w:val="Bodytext2"/>
      </w:pPr>
    </w:p>
    <w:p w:rsidR="0038059B" w:rsidP="0038059B" w14:paraId="635F013A" w14:textId="77777777">
      <w:pPr>
        <w:pStyle w:val="Heading13"/>
      </w:pPr>
      <w:r>
        <w:t>The main actuarial assumptions at the end of the financial period are (expressed as weighted averages):</w:t>
      </w:r>
    </w:p>
    <w:tbl>
      <w:tblPr>
        <w:tblStyle w:val="TableNormal"/>
        <w:tblCaption w:val="table_actuarial_assumptions"/>
        <w:tblW w:w="7365" w:type="dxa"/>
        <w:tblLayout w:type="fixed"/>
        <w:tblLook w:val="0600"/>
      </w:tblPr>
      <w:tblGrid>
        <w:gridCol w:w="4125"/>
        <w:gridCol w:w="1080"/>
        <w:gridCol w:w="1080"/>
        <w:gridCol w:w="1080"/>
      </w:tblGrid>
      <w:tr>
        <w:tblPrEx>
          <w:tblW w:w="7365" w:type="dxa"/>
          <w:tblLayout w:type="fixed"/>
          <w:tblLook w:val="0600"/>
        </w:tblPrEx>
        <w:trPr>
          <w:trHeight w:val="240"/>
        </w:trPr>
        <w:tc>
          <w:tcPr>
            <w:tcW w:w="41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t>
            </w:r>
          </w:p>
        </w:tc>
        <w:tc>
          <w:tcPr>
            <w:tcW w:w="108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Discount rate</w:t>
            </w: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Future salary growth</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Future pension growth</w:t>
            </w: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1.14</w:t>
            </w:r>
          </w:p>
        </w:tc>
      </w:tr>
    </w:tbl>
    <w:p w:rsidR="0038059B" w:rsidP="0038059B" w14:paraId="1199505B" w14:textId="77777777">
      <w:pPr>
        <w:pStyle w:val="Bodytext2"/>
      </w:pPr>
    </w:p>
    <w:p w:rsidR="0038059B" w:rsidP="0038059B" w14:paraId="41AC7359" w14:textId="3CC6B574">
      <w:pPr>
        <w:pStyle w:val="Bodytext2"/>
      </w:pPr>
      <w:r>
        <w:t xml:space="preserve">On 31 December 2020, the weighted average duration of </w:t>
      </w:r>
      <w:r>
        <w:t>the defined benefit obligation was 8 years (12). The Group expects to contribute EUR 3 million (7) to the plans during the next financial period.</w:t>
      </w:r>
    </w:p>
    <w:p w:rsidR="0038059B" w:rsidP="0038059B" w14:paraId="0FD1F154" w14:textId="77777777">
      <w:pPr>
        <w:pStyle w:val="Bodytext2"/>
      </w:pPr>
    </w:p>
    <w:p w:rsidR="0038059B" w:rsidP="0038059B" w14:paraId="0423EEBF" w14:textId="77777777">
      <w:pPr>
        <w:pStyle w:val="Bodytext2"/>
      </w:pPr>
      <w:r>
        <w:t>Assumptions regarding future mortality are set based on actuarial advice in accordance with the published sta</w:t>
      </w:r>
      <w:r>
        <w:t>tistics and experience in each country. These assumptions translate into a weighted average life expectancy in years for a pensioner at the retirement age as follows:</w:t>
      </w:r>
    </w:p>
    <w:p w:rsidR="0038059B" w:rsidP="0038059B" w14:paraId="718AD6F2" w14:textId="77777777">
      <w:pPr>
        <w:pStyle w:val="Bodytext2"/>
      </w:pPr>
    </w:p>
    <w:tbl>
      <w:tblPr>
        <w:tblStyle w:val="TableNormal"/>
        <w:tblCaption w:val="table_plan_participants"/>
        <w:tblW w:w="7365" w:type="dxa"/>
        <w:tblLayout w:type="fixed"/>
        <w:tblLook w:val="0600"/>
      </w:tblPr>
      <w:tblGrid>
        <w:gridCol w:w="4125"/>
        <w:gridCol w:w="1080"/>
        <w:gridCol w:w="1080"/>
        <w:gridCol w:w="1080"/>
      </w:tblGrid>
      <w:tr>
        <w:tblPrEx>
          <w:tblW w:w="7365" w:type="dxa"/>
          <w:tblLayout w:type="fixed"/>
          <w:tblLook w:val="0600"/>
        </w:tblPrEx>
        <w:trPr>
          <w:trHeight w:val="225"/>
        </w:trPr>
        <w:tc>
          <w:tcPr>
            <w:tcW w:w="412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Plan participants retiring at the end of the financial period:</w:t>
            </w:r>
          </w:p>
        </w:tc>
        <w:tc>
          <w:tcPr>
            <w:tcW w:w="108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Male</w:t>
            </w:r>
          </w:p>
        </w:tc>
        <w:tc>
          <w:tcPr>
            <w:tcW w:w="1080" w:type="dxa"/>
            <w:tcBorders>
              <w:top w:val="single" w:sz="4" w:space="0" w:color="004A6B"/>
              <w:left w:val="nil"/>
              <w:bottom w:val="single" w:sz="4" w:space="0" w:color="004A6B"/>
              <w:right w:val="nil"/>
              <w:tl2br w:val="nil"/>
              <w:tr2bl w:val="nil"/>
            </w:tcBorders>
            <w:shd w:val="clear" w:color="FFFFFF" w:fill="FFFFFF"/>
            <w:noWrap/>
            <w:tcMar>
              <w:left w:w="36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17.3</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Female</w:t>
            </w:r>
          </w:p>
        </w:tc>
        <w:tc>
          <w:tcPr>
            <w:tcW w:w="1080" w:type="dxa"/>
            <w:tcBorders>
              <w:top w:val="single" w:sz="4" w:space="0" w:color="004A6B"/>
              <w:left w:val="nil"/>
              <w:bottom w:val="single" w:sz="4" w:space="0" w:color="004A6B"/>
              <w:right w:val="nil"/>
              <w:tl2br w:val="nil"/>
              <w:tr2bl w:val="nil"/>
            </w:tcBorders>
            <w:shd w:val="clear" w:color="FFFFFF" w:fill="FFFFFF"/>
            <w:noWrap/>
            <w:tcMar>
              <w:left w:w="36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19.8</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Plan participants retiring 20 years after the end of the financial period:</w:t>
            </w:r>
          </w:p>
        </w:tc>
        <w:tc>
          <w:tcPr>
            <w:tcW w:w="108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Male</w:t>
            </w:r>
          </w:p>
        </w:tc>
        <w:tc>
          <w:tcPr>
            <w:tcW w:w="1080" w:type="dxa"/>
            <w:tcBorders>
              <w:top w:val="single" w:sz="4" w:space="0" w:color="004A6B"/>
              <w:left w:val="nil"/>
              <w:bottom w:val="single" w:sz="4" w:space="0" w:color="004A6B"/>
              <w:right w:val="nil"/>
              <w:tl2br w:val="nil"/>
              <w:tr2bl w:val="nil"/>
            </w:tcBorders>
            <w:shd w:val="clear" w:color="FFFFFF" w:fill="FFFFFF"/>
            <w:noWrap/>
            <w:tcMar>
              <w:left w:w="36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17.0</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Female</w:t>
            </w:r>
          </w:p>
        </w:tc>
        <w:tc>
          <w:tcPr>
            <w:tcW w:w="1080" w:type="dxa"/>
            <w:tcBorders>
              <w:top w:val="single" w:sz="4" w:space="0" w:color="004A6B"/>
              <w:left w:val="nil"/>
              <w:bottom w:val="single" w:sz="4" w:space="0" w:color="004A6B"/>
              <w:right w:val="nil"/>
              <w:tl2br w:val="nil"/>
              <w:tr2bl w:val="nil"/>
            </w:tcBorders>
            <w:shd w:val="clear" w:color="FFFFFF" w:fill="FFFFFF"/>
            <w:noWrap/>
            <w:tcMar>
              <w:left w:w="36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19.1</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20.4</w:t>
            </w:r>
          </w:p>
        </w:tc>
      </w:tr>
    </w:tbl>
    <w:p w:rsidR="0038059B" w:rsidRPr="00A07F4C" w:rsidP="0038059B" w14:paraId="1BB02EFE" w14:textId="77777777">
      <w:pPr>
        <w:pStyle w:val="Bodytext2"/>
        <w:rPr>
          <w:lang w:val="en-GB"/>
        </w:rPr>
      </w:pPr>
    </w:p>
    <w:p w:rsidR="0038059B" w:rsidP="0038059B" w14:paraId="26411326" w14:textId="1A0E4119">
      <w:pPr>
        <w:pStyle w:val="Bodytext2"/>
        <w:rPr>
          <w:lang w:val="en-GB"/>
        </w:rPr>
      </w:pPr>
      <w:r w:rsidRPr="00227F40">
        <w:rPr>
          <w:lang w:val="en-GB"/>
        </w:rPr>
        <w:t>The following table presents a sensitivity analysis for ea</w:t>
      </w:r>
      <w:r w:rsidRPr="00227F40">
        <w:rPr>
          <w:lang w:val="en-GB"/>
        </w:rPr>
        <w:t>ch significant actuarial assumption showing how the defined benefit obligation would have been affected by changes in the relevant actuarial assumption that were reasonably possible at the end of the financial period. This sensitivity analysis applies to t</w:t>
      </w:r>
      <w:r w:rsidRPr="00227F40">
        <w:rPr>
          <w:lang w:val="en-GB"/>
        </w:rPr>
        <w:t>he defined benefit obligation only and not to the net defined benefit pension liability in its entirety.</w:t>
      </w:r>
    </w:p>
    <w:p w:rsidR="00227F40" w:rsidRPr="00227F40" w:rsidP="0038059B" w14:paraId="5C43651F" w14:textId="77777777">
      <w:pPr>
        <w:pStyle w:val="Bodytext2"/>
        <w:rPr>
          <w:lang w:val="en-GB"/>
        </w:rPr>
      </w:pPr>
    </w:p>
    <w:p w:rsidR="0038059B" w:rsidRPr="00A07F4C" w:rsidP="0038059B" w14:paraId="29886250" w14:textId="3BAA59FD">
      <w:pPr>
        <w:pStyle w:val="Heading13"/>
        <w:rPr>
          <w:lang w:val="en-GB"/>
        </w:rPr>
      </w:pPr>
      <w:r w:rsidRPr="00A07F4C">
        <w:rPr>
          <w:lang w:val="en-GB"/>
        </w:rPr>
        <w:t>S</w:t>
      </w:r>
      <w:r w:rsidRPr="00A07F4C" w:rsidR="002E583E">
        <w:rPr>
          <w:lang w:val="en-GB"/>
        </w:rPr>
        <w:t>ensitivity analysis</w:t>
      </w:r>
    </w:p>
    <w:p w:rsidR="0038059B" w:rsidRPr="00A07F4C" w:rsidP="0038059B" w14:paraId="703051CE" w14:textId="77777777">
      <w:pPr>
        <w:pStyle w:val="Bodytext2"/>
        <w:rPr>
          <w:lang w:val="en-GB"/>
        </w:rPr>
      </w:pPr>
    </w:p>
    <w:tbl>
      <w:tblPr>
        <w:tblStyle w:val="TableNormal"/>
        <w:tblCaption w:val="table_pension_sensitivity"/>
        <w:tblW w:w="7365" w:type="dxa"/>
        <w:tblLayout w:type="fixed"/>
        <w:tblLook w:val="0600"/>
      </w:tblPr>
      <w:tblGrid>
        <w:gridCol w:w="4125"/>
        <w:gridCol w:w="1080"/>
        <w:gridCol w:w="1080"/>
        <w:gridCol w:w="1080"/>
      </w:tblGrid>
      <w:tr>
        <w:tblPrEx>
          <w:tblW w:w="7365" w:type="dxa"/>
          <w:tblLayout w:type="fixed"/>
          <w:tblLook w:val="0600"/>
        </w:tblPrEx>
        <w:trPr>
          <w:trHeight w:val="240"/>
        </w:trPr>
        <w:tc>
          <w:tcPr>
            <w:tcW w:w="412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2160" w:type="dxa"/>
            <w:gridSpan w:val="2"/>
            <w:tcBorders>
              <w:top w:val="nil"/>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Effect to defined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benefit obligation, MEUR</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2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8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Change in assumption</w:t>
            </w:r>
          </w:p>
        </w:tc>
        <w:tc>
          <w:tcPr>
            <w:tcW w:w="108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Discount rate</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1%</w:t>
            </w: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Discount rate</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1%</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Future salary growth</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1%</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Future salary growth</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1%</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Future pension growth</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increase 1%</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Future pension growth</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decrease 1%</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w:t>
            </w:r>
          </w:p>
        </w:tc>
      </w:tr>
    </w:tbl>
    <w:p w:rsidR="0038059B" w:rsidRPr="00A07F4C" w:rsidP="0038059B" w14:paraId="0F4343AC" w14:textId="17CA8E1D">
      <w:pPr>
        <w:pStyle w:val="Bodytext2"/>
        <w:rPr>
          <w:sz w:val="2"/>
          <w:szCs w:val="2"/>
          <w:lang w:val="en-GB"/>
        </w:rPr>
      </w:pPr>
      <w:r w:rsidRPr="00A07F4C">
        <w:rPr>
          <w:lang w:val="en-GB"/>
        </w:rPr>
        <w:br w:type="column"/>
      </w:r>
    </w:p>
    <w:p w:rsidR="004A54F0" w:rsidP="004A54F0" w14:paraId="123DF5FA" w14:textId="77777777">
      <w:pPr>
        <w:pStyle w:val="Heading11"/>
      </w:pPr>
      <w:bookmarkStart w:id="1176" w:name="RG_MARKER_4168"/>
      <w:bookmarkStart w:id="1177" w:name="RG_MARKER_3740"/>
      <w:r>
        <w:t>5. CAPITAL STRUCTURE AND FINANCIAL ITEMS</w:t>
      </w:r>
      <w:bookmarkEnd w:id="1177"/>
      <w:bookmarkEnd w:id="1176"/>
    </w:p>
    <w:p w:rsidR="004A54F0" w:rsidP="004A54F0" w14:paraId="4D0AB224" w14:textId="77777777">
      <w:pPr>
        <w:pStyle w:val="Heading12"/>
      </w:pPr>
      <w:r>
        <w:t>5.1. FINANCIAL INCOME AND EXPENSES</w:t>
      </w:r>
    </w:p>
    <w:tbl>
      <w:tblPr>
        <w:tblStyle w:val="TableGrid0"/>
        <w:tblW w:w="7371" w:type="dxa"/>
        <w:tblInd w:w="5" w:type="dxa"/>
        <w:tblLook w:val="04A0"/>
      </w:tblPr>
      <w:tblGrid>
        <w:gridCol w:w="7371"/>
      </w:tblGrid>
      <w:tr w14:paraId="67FDC639" w14:textId="77777777" w:rsidTr="004A54F0">
        <w:tblPrEx>
          <w:tblW w:w="7371" w:type="dxa"/>
          <w:tblInd w:w="5" w:type="dxa"/>
          <w:tblLook w:val="04A0"/>
        </w:tblPrEx>
        <w:tc>
          <w:tcPr>
            <w:tcW w:w="7371" w:type="dxa"/>
            <w:shd w:val="clear" w:color="auto" w:fill="B6C8D1"/>
          </w:tcPr>
          <w:p w:rsidR="004A54F0" w:rsidRPr="00BF4DB4" w:rsidP="004A54F0" w14:paraId="2E60DAD5" w14:textId="77777777">
            <w:pPr>
              <w:pStyle w:val="Heading13"/>
              <w:rPr>
                <w:lang w:val="en-GB"/>
              </w:rPr>
            </w:pPr>
            <w:r w:rsidRPr="00BF4DB4">
              <w:rPr>
                <w:lang w:val="en-GB"/>
              </w:rPr>
              <w:t>Accounting principles</w:t>
            </w:r>
          </w:p>
          <w:p w:rsidR="004A54F0" w:rsidRPr="00BF4DB4" w:rsidP="004A54F0" w14:paraId="05AF7A13" w14:textId="61AFB8F2">
            <w:pPr>
              <w:pStyle w:val="Bodytext2"/>
              <w:rPr>
                <w:lang w:val="en-GB"/>
              </w:rPr>
            </w:pPr>
            <w:r w:rsidRPr="00BF4DB4">
              <w:rPr>
                <w:lang w:val="en-GB"/>
              </w:rPr>
              <w:t>Service cost related to pension plans is recognised in employee benefit expenses and the net interest in financial expenses. Also</w:t>
            </w:r>
            <w:r>
              <w:rPr>
                <w:lang w:val="en-GB"/>
              </w:rPr>
              <w:t>,</w:t>
            </w:r>
            <w:r w:rsidRPr="00BF4DB4">
              <w:rPr>
                <w:lang w:val="en-GB"/>
              </w:rPr>
              <w:t xml:space="preserve"> g</w:t>
            </w:r>
            <w:r w:rsidRPr="00BF4DB4">
              <w:rPr>
                <w:lang w:val="en-GB"/>
              </w:rPr>
              <w:t xml:space="preserve">ains and losses from fair valuation and disposal and impairments of other shares are included in financial income and expenses. </w:t>
            </w:r>
          </w:p>
          <w:p w:rsidR="004A54F0" w:rsidRPr="00BF4DB4" w:rsidP="004A54F0" w14:paraId="37EADA2F" w14:textId="77777777">
            <w:pPr>
              <w:pStyle w:val="Bodytext2"/>
              <w:rPr>
                <w:lang w:val="en-GB"/>
              </w:rPr>
            </w:pPr>
          </w:p>
          <w:p w:rsidR="004A54F0" w:rsidRPr="00042C22" w:rsidP="004A54F0" w14:paraId="47C10827" w14:textId="71E1BA89">
            <w:pPr>
              <w:pStyle w:val="Bodytext2"/>
              <w:rPr>
                <w:lang w:val="en-GB"/>
              </w:rPr>
            </w:pPr>
            <w:bookmarkStart w:id="1178" w:name="_Hlk56591324"/>
            <w:r w:rsidRPr="00BF4DB4">
              <w:rPr>
                <w:lang w:val="en-GB"/>
              </w:rPr>
              <w:t>Changes in the fair value of interest rate hedges against Wärtsilä Group’s loan portfolio are immediately recognised in financ</w:t>
            </w:r>
            <w:r w:rsidRPr="00BF4DB4">
              <w:rPr>
                <w:lang w:val="en-GB"/>
              </w:rPr>
              <w:t xml:space="preserve">ial income or expenses in the statement of income. </w:t>
            </w:r>
            <w:bookmarkEnd w:id="1178"/>
            <w:r w:rsidRPr="00BF4DB4">
              <w:rPr>
                <w:lang w:val="en-GB"/>
              </w:rPr>
              <w:t>The fair value of interest rate swaps is calculated by discounting the future cash flows.</w:t>
            </w:r>
          </w:p>
          <w:p w:rsidR="004A54F0" w:rsidRPr="00042C22" w:rsidP="004A54F0" w14:paraId="53629A28" w14:textId="77777777">
            <w:pPr>
              <w:pStyle w:val="Bodytext2"/>
              <w:rPr>
                <w:lang w:val="en-GB"/>
              </w:rPr>
            </w:pPr>
          </w:p>
          <w:p w:rsidR="004A54F0" w:rsidRPr="00042C22" w:rsidP="004A54F0" w14:paraId="08C0D025" w14:textId="77777777">
            <w:pPr>
              <w:pStyle w:val="Bodytext2"/>
              <w:rPr>
                <w:lang w:val="en-GB"/>
              </w:rPr>
            </w:pPr>
            <w:r w:rsidRPr="00042C22">
              <w:rPr>
                <w:lang w:val="en-GB"/>
              </w:rPr>
              <w:t>Exchange rate differences related to financial assets and financial liabilities are reported as financial items in</w:t>
            </w:r>
            <w:r w:rsidRPr="00042C22">
              <w:rPr>
                <w:lang w:val="en-GB"/>
              </w:rPr>
              <w:t xml:space="preserve"> the statement of income, except exchange rate differences related to non-current debt that is part of the Group's net investment in a subsidiary.</w:t>
            </w:r>
          </w:p>
        </w:tc>
      </w:tr>
    </w:tbl>
    <w:p w:rsidR="004A54F0" w:rsidP="004A54F0" w14:paraId="0DAA6E0C" w14:textId="77777777">
      <w:pPr>
        <w:pStyle w:val="Bodytext2"/>
      </w:pPr>
    </w:p>
    <w:tbl>
      <w:tblPr>
        <w:tblStyle w:val="TableNormal"/>
        <w:tblCaption w:val="table_51"/>
        <w:tblW w:w="7350" w:type="dxa"/>
        <w:tblLayout w:type="fixed"/>
        <w:tblLook w:val="0600"/>
      </w:tblPr>
      <w:tblGrid>
        <w:gridCol w:w="4860"/>
        <w:gridCol w:w="1245"/>
        <w:gridCol w:w="1245"/>
      </w:tblGrid>
      <w:tr>
        <w:tblPrEx>
          <w:tblW w:w="7350" w:type="dxa"/>
          <w:tblLayout w:type="fixed"/>
          <w:tblLook w:val="0600"/>
        </w:tblPrEx>
        <w:trPr>
          <w:trHeight w:hRule="exact" w:val="244"/>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income on loans and receivables</w:t>
            </w:r>
          </w:p>
        </w:tc>
        <w:tc>
          <w:tcPr>
            <w:tcW w:w="12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2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4"/>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income on financial assets at fair value through the statement of income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income on investments at amortised cost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income</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financial income</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4"/>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expenses on financial liabilities recognised at amortised cost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expenses on lease liabilities recognised at amortised cost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4"/>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expenses on financial liabilities at fair value through the statement of income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Net interest from defined benefit plans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4"/>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fair values of financial assets/liabilities at fair value through the statement of income</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Exchange rate differences*</w:t>
            </w:r>
          </w:p>
        </w:tc>
        <w:tc>
          <w:tcPr>
            <w:tcW w:w="12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c>
          <w:tcPr>
            <w:tcW w:w="12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Fee expenses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expenses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financial expenses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-59</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4"/>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w:t>
            </w:r>
          </w:p>
        </w:tc>
      </w:tr>
    </w:tbl>
    <w:p w:rsidR="004A54F0" w:rsidP="004A54F0" w14:paraId="38E686AB" w14:textId="77777777">
      <w:pPr>
        <w:pStyle w:val="Bodytext2"/>
      </w:pPr>
    </w:p>
    <w:p w:rsidR="004A54F0" w:rsidP="004A54F0" w14:paraId="7EC932BF" w14:textId="53FDBD80">
      <w:pPr>
        <w:pStyle w:val="Bodytext2"/>
      </w:pPr>
      <w:r>
        <w:t xml:space="preserve">* In 2020, the result from the ineffective portion of cash flow hedges related to cancelled </w:t>
      </w:r>
      <w:r w:rsidRPr="00BF4DB4">
        <w:t>projects</w:t>
      </w:r>
      <w:r>
        <w:t xml:space="preserve">, EUR </w:t>
      </w:r>
      <w:r w:rsidR="00497309">
        <w:t>-1</w:t>
      </w:r>
      <w:r>
        <w:t xml:space="preserve"> </w:t>
      </w:r>
      <w:r w:rsidRPr="00475B1F">
        <w:t xml:space="preserve">million (-5), and exchange rate differences from unhedged internal loans, EUR </w:t>
      </w:r>
      <w:r w:rsidRPr="00475B1F" w:rsidR="001D49D8">
        <w:t>-</w:t>
      </w:r>
      <w:r w:rsidRPr="00475B1F">
        <w:t>10 million (-8) were</w:t>
      </w:r>
      <w:r>
        <w:t xml:space="preserve"> included in exchange rate differences.</w:t>
      </w:r>
    </w:p>
    <w:p/>
    <w:p w:rsidR="002A103C" w:rsidP="002A103C" w14:paraId="60B564DB" w14:textId="77777777">
      <w:pPr>
        <w:pStyle w:val="Heading12"/>
      </w:pPr>
      <w:bookmarkStart w:id="1179" w:name="RG_MARKER_4169"/>
      <w:r>
        <w:t>5.2. FINANCIAL ASSETS AND LIABILITIES BY MEASUREMENT CATEGORY</w:t>
      </w:r>
      <w:bookmarkEnd w:id="1179"/>
    </w:p>
    <w:tbl>
      <w:tblPr>
        <w:tblStyle w:val="TableGrid"/>
        <w:tblW w:w="7371" w:type="dxa"/>
        <w:tblLook w:val="04A0"/>
      </w:tblPr>
      <w:tblGrid>
        <w:gridCol w:w="7371"/>
      </w:tblGrid>
      <w:tr w14:paraId="29A67594" w14:textId="77777777" w:rsidTr="002A103C">
        <w:tblPrEx>
          <w:tblW w:w="7371" w:type="dxa"/>
          <w:tblLook w:val="04A0"/>
        </w:tblPrEx>
        <w:tc>
          <w:tcPr>
            <w:tcW w:w="7371" w:type="dxa"/>
            <w:tcBorders>
              <w:top w:val="nil"/>
              <w:left w:val="nil"/>
              <w:bottom w:val="nil"/>
              <w:right w:val="nil"/>
            </w:tcBorders>
            <w:shd w:val="clear" w:color="auto" w:fill="B6C8D1"/>
          </w:tcPr>
          <w:p w:rsidR="002A103C" w:rsidRPr="00575BD7" w:rsidP="002A103C" w14:paraId="29EAFD73" w14:textId="77777777">
            <w:pPr>
              <w:pStyle w:val="Heading13"/>
              <w:rPr>
                <w:lang w:val="en-GB"/>
              </w:rPr>
            </w:pPr>
            <w:r w:rsidRPr="004A5435">
              <w:rPr>
                <w:lang w:val="en-GB"/>
              </w:rPr>
              <w:t>Accounting principles</w:t>
            </w:r>
          </w:p>
          <w:p w:rsidR="002A103C" w:rsidRPr="00575BD7" w:rsidP="002A103C" w14:paraId="370A0117" w14:textId="77777777">
            <w:pPr>
              <w:pStyle w:val="Heading13"/>
              <w:rPr>
                <w:lang w:val="en-GB"/>
              </w:rPr>
            </w:pPr>
            <w:r w:rsidRPr="00575BD7">
              <w:rPr>
                <w:lang w:val="en-GB"/>
              </w:rPr>
              <w:t>Financial instruments</w:t>
            </w:r>
          </w:p>
          <w:p w:rsidR="002A103C" w:rsidRPr="00D01C1F" w:rsidP="00C12360" w14:paraId="15D8A0CE" w14:textId="76BA9C8F">
            <w:pPr>
              <w:pStyle w:val="Bodytext2"/>
              <w:rPr>
                <w:lang w:val="en-GB"/>
              </w:rPr>
            </w:pPr>
            <w:r w:rsidRPr="00D01C1F">
              <w:rPr>
                <w:lang w:val="en-GB"/>
              </w:rPr>
              <w:t>Financial instruments are initially recognised at fair value</w:t>
            </w:r>
            <w:r w:rsidRPr="00D01C1F">
              <w:rPr>
                <w:lang w:val="en-GB"/>
              </w:rPr>
              <w:t xml:space="preserve">. Subsequently, financial assets are classified and measured at amortised cost, at fair value through statement of income, or at fair value through other comprehensive income. The classification of financial assets is defined by the business model and the </w:t>
            </w:r>
            <w:r w:rsidRPr="00D01C1F">
              <w:rPr>
                <w:lang w:val="en-GB"/>
              </w:rPr>
              <w:t>cash flow characteristics of the asset. Financial liabilities are subsequently classified and measured at amortised cost or at fair value through statement of income.</w:t>
            </w:r>
          </w:p>
          <w:p w:rsidR="002A103C" w:rsidRPr="00D01C1F" w:rsidP="00C12360" w14:paraId="329DC352" w14:textId="77777777">
            <w:pPr>
              <w:pStyle w:val="Bodytext2"/>
              <w:rPr>
                <w:lang w:val="en-GB"/>
              </w:rPr>
            </w:pPr>
          </w:p>
          <w:p w:rsidR="002A103C" w:rsidRPr="00D01C1F" w:rsidP="00C12360" w14:paraId="695AFB60" w14:textId="0DA165A0">
            <w:pPr>
              <w:pStyle w:val="Bodytext2"/>
              <w:rPr>
                <w:lang w:val="en-GB"/>
              </w:rPr>
            </w:pPr>
            <w:r w:rsidRPr="00D01C1F">
              <w:rPr>
                <w:lang w:val="en-GB"/>
              </w:rPr>
              <w:t>Financial instruments are classified as current financial instruments unless the maturit</w:t>
            </w:r>
            <w:r w:rsidRPr="00D01C1F">
              <w:rPr>
                <w:lang w:val="en-GB"/>
              </w:rPr>
              <w:t>y of the financial instrument exceeds 12 months from the reporting date. Financial instruments are derecognised only when the financial instrument is extinguished, or when the contractually specified right or obligation is discharged, cancelled, or when it</w:t>
            </w:r>
            <w:r w:rsidRPr="00D01C1F">
              <w:rPr>
                <w:lang w:val="en-GB"/>
              </w:rPr>
              <w:t xml:space="preserve"> expires. The status of financial instruments is evaluated at each reporting date.</w:t>
            </w:r>
          </w:p>
          <w:p w:rsidR="002A103C" w:rsidRPr="00D01C1F" w:rsidP="00C12360" w14:paraId="626A82DD" w14:textId="77777777">
            <w:pPr>
              <w:pStyle w:val="Bodytext2"/>
              <w:rPr>
                <w:lang w:val="en-GB"/>
              </w:rPr>
            </w:pPr>
          </w:p>
          <w:p w:rsidR="002A103C" w:rsidRPr="00575BD7" w:rsidP="002A103C" w14:paraId="2B2B5531" w14:textId="77777777">
            <w:pPr>
              <w:pStyle w:val="Heading13"/>
              <w:rPr>
                <w:lang w:val="en-GB"/>
              </w:rPr>
            </w:pPr>
            <w:r w:rsidRPr="00575BD7">
              <w:rPr>
                <w:lang w:val="en-GB"/>
              </w:rPr>
              <w:t>Financial instruments at amortised cost</w:t>
            </w:r>
          </w:p>
          <w:p w:rsidR="002A103C" w:rsidRPr="00575BD7" w:rsidP="002A103C" w14:paraId="38700AC6" w14:textId="77777777">
            <w:pPr>
              <w:pStyle w:val="Heading13"/>
              <w:rPr>
                <w:lang w:val="en-GB"/>
              </w:rPr>
            </w:pPr>
            <w:r w:rsidRPr="00575BD7">
              <w:rPr>
                <w:lang w:val="en-GB"/>
              </w:rPr>
              <w:t>Financial assets</w:t>
            </w:r>
          </w:p>
          <w:p w:rsidR="002A103C" w:rsidRPr="00D01C1F" w:rsidP="00C12360" w14:paraId="3D5A1CD4" w14:textId="24610F12">
            <w:pPr>
              <w:pStyle w:val="Bodytext2"/>
              <w:rPr>
                <w:lang w:val="en-GB"/>
              </w:rPr>
            </w:pPr>
            <w:r w:rsidRPr="00D01C1F">
              <w:rPr>
                <w:lang w:val="en-GB"/>
              </w:rPr>
              <w:t>Financial assets measured at amortised cost include cash and cash equivalents, investments in debt instruments, com</w:t>
            </w:r>
            <w:r w:rsidRPr="00D01C1F">
              <w:rPr>
                <w:lang w:val="en-GB"/>
              </w:rPr>
              <w:t>mercial papers, trade receivables and other receivables. The assets are initially recognised at fair value less the transaction costs, and are subsequently measured at amortised cost by using the effective interest rate method. These assets are held for co</w:t>
            </w:r>
            <w:r w:rsidRPr="00D01C1F">
              <w:rPr>
                <w:lang w:val="en-GB"/>
              </w:rPr>
              <w:t>llecting contractual cash flows, which are solely payments of principal and interest. Interest income is recognised as financial income in the statement of income.</w:t>
            </w:r>
          </w:p>
          <w:p w:rsidR="002A103C" w:rsidRPr="00D01C1F" w:rsidP="00C12360" w14:paraId="4510D51F" w14:textId="77777777">
            <w:pPr>
              <w:pStyle w:val="Bodytext2"/>
              <w:rPr>
                <w:lang w:val="en-GB"/>
              </w:rPr>
            </w:pPr>
          </w:p>
          <w:p w:rsidR="002A103C" w:rsidRPr="00D01C1F" w:rsidP="00C12360" w14:paraId="31CCD384" w14:textId="4937634A">
            <w:pPr>
              <w:pStyle w:val="Bodytext2"/>
              <w:rPr>
                <w:lang w:val="en-GB"/>
              </w:rPr>
            </w:pPr>
            <w:r w:rsidRPr="00D01C1F">
              <w:rPr>
                <w:lang w:val="en-GB"/>
              </w:rPr>
              <w:t>The Group applies the simplified method in IFRS 9 for the expected credit losses from its t</w:t>
            </w:r>
            <w:r w:rsidRPr="00D01C1F">
              <w:rPr>
                <w:lang w:val="en-GB"/>
              </w:rPr>
              <w:t>rade receivables. This requires expected lifetime credit losses to be recognised from the initial recognition of the receivables, as defined in Note 4.2. Trade receivables and contract assets and liabilities.</w:t>
            </w:r>
          </w:p>
          <w:p w:rsidR="002A103C" w:rsidRPr="00D01C1F" w:rsidP="00C12360" w14:paraId="19DB2CD9" w14:textId="77777777">
            <w:pPr>
              <w:pStyle w:val="Bodytext2"/>
              <w:rPr>
                <w:lang w:val="en-GB"/>
              </w:rPr>
            </w:pPr>
          </w:p>
          <w:p w:rsidR="002A103C" w:rsidRPr="00575BD7" w:rsidP="002A103C" w14:paraId="085435A9" w14:textId="77777777">
            <w:pPr>
              <w:pStyle w:val="Heading13"/>
              <w:rPr>
                <w:lang w:val="en-GB"/>
              </w:rPr>
            </w:pPr>
            <w:r w:rsidRPr="00575BD7">
              <w:rPr>
                <w:lang w:val="en-GB"/>
              </w:rPr>
              <w:t>Financial Liabilities</w:t>
            </w:r>
          </w:p>
          <w:p w:rsidR="002A103C" w:rsidP="00C12360" w14:paraId="5D7463EE" w14:textId="18EDE0AA">
            <w:pPr>
              <w:pStyle w:val="Bodytext2"/>
              <w:rPr>
                <w:lang w:val="en-GB"/>
              </w:rPr>
            </w:pPr>
            <w:r w:rsidRPr="00D01C1F">
              <w:rPr>
                <w:lang w:val="en-GB"/>
              </w:rPr>
              <w:t>Financial liabilities me</w:t>
            </w:r>
            <w:r w:rsidRPr="00D01C1F">
              <w:rPr>
                <w:lang w:val="en-GB"/>
              </w:rPr>
              <w:t>asured at amortised cost include trade and other payables, loans, and borrowings. These liabilities are initially recognised at fair value less the transaction costs related to the acquisition of these liabilities. The liabilities are subsequently classifi</w:t>
            </w:r>
            <w:r w:rsidRPr="00D01C1F">
              <w:rPr>
                <w:lang w:val="en-GB"/>
              </w:rPr>
              <w:t>ed and measured using the effective interest rate method by amortising the discounted interest payments over the maturity of the liabilities. Interest expense is recognised in the financial expense in the statement of income.</w:t>
            </w:r>
          </w:p>
          <w:p w:rsidR="00D01C1F" w:rsidP="00C12360" w14:paraId="78D0959F" w14:textId="7508F9FB">
            <w:pPr>
              <w:pStyle w:val="Bodytext2"/>
              <w:rPr>
                <w:lang w:val="en-GB"/>
              </w:rPr>
            </w:pPr>
          </w:p>
          <w:p w:rsidR="00D01C1F" w:rsidRPr="00D01C1F" w:rsidP="00C12360" w14:paraId="746B10E2" w14:textId="77777777">
            <w:pPr>
              <w:pStyle w:val="Bodytext2"/>
              <w:rPr>
                <w:lang w:val="en-GB"/>
              </w:rPr>
            </w:pPr>
          </w:p>
          <w:p w:rsidR="002A103C" w:rsidRPr="00575BD7" w:rsidP="002A103C" w14:paraId="552A9CCB" w14:textId="77777777">
            <w:pPr>
              <w:pStyle w:val="Heading13"/>
              <w:rPr>
                <w:lang w:val="en-GB"/>
              </w:rPr>
            </w:pPr>
            <w:r w:rsidRPr="00575BD7">
              <w:rPr>
                <w:lang w:val="en-GB"/>
              </w:rPr>
              <w:t>Financial instruments at fai</w:t>
            </w:r>
            <w:r w:rsidRPr="00575BD7">
              <w:rPr>
                <w:lang w:val="en-GB"/>
              </w:rPr>
              <w:t>r value through the statement of income</w:t>
            </w:r>
          </w:p>
          <w:p w:rsidR="002A103C" w:rsidRPr="00575BD7" w:rsidP="002A103C" w14:paraId="5ECDF0D6" w14:textId="77777777">
            <w:pPr>
              <w:pStyle w:val="Heading13"/>
              <w:rPr>
                <w:lang w:val="en-GB"/>
              </w:rPr>
            </w:pPr>
            <w:r w:rsidRPr="00575BD7">
              <w:rPr>
                <w:lang w:val="en-GB"/>
              </w:rPr>
              <w:t>Financial assets</w:t>
            </w:r>
          </w:p>
          <w:p w:rsidR="002A103C" w:rsidRPr="00D01C1F" w:rsidP="00C12360" w14:paraId="1D9D1A76" w14:textId="77777777">
            <w:pPr>
              <w:pStyle w:val="Bodytext2"/>
              <w:rPr>
                <w:lang w:val="en-GB"/>
              </w:rPr>
            </w:pPr>
            <w:r w:rsidRPr="00D01C1F">
              <w:rPr>
                <w:lang w:val="en-GB"/>
              </w:rPr>
              <w:t xml:space="preserve">Financial assets measured at fair value through the statement of income include other financial investments, other short-term cash investments and derivatives, which are not included in the hedge </w:t>
            </w:r>
            <w:r w:rsidRPr="00D01C1F">
              <w:rPr>
                <w:lang w:val="en-GB"/>
              </w:rPr>
              <w:t>acc</w:t>
            </w:r>
            <w:r w:rsidRPr="00D01C1F">
              <w:rPr>
                <w:lang w:val="en-GB"/>
              </w:rPr>
              <w:t>ounting. These financial investments include Wärtsilä’s investments in other companies (both listed and unlisted shares).</w:t>
            </w:r>
          </w:p>
          <w:p w:rsidR="002A103C" w:rsidRPr="00D01C1F" w:rsidP="00C12360" w14:paraId="2F0CD6BE" w14:textId="77777777">
            <w:pPr>
              <w:pStyle w:val="Bodytext2"/>
              <w:rPr>
                <w:lang w:val="en-GB"/>
              </w:rPr>
            </w:pPr>
          </w:p>
          <w:p w:rsidR="002A103C" w:rsidRPr="00D01C1F" w:rsidP="00C12360" w14:paraId="1A970181" w14:textId="156998D8">
            <w:pPr>
              <w:pStyle w:val="Bodytext2"/>
              <w:rPr>
                <w:lang w:val="en-GB"/>
              </w:rPr>
            </w:pPr>
            <w:r w:rsidRPr="00D01C1F">
              <w:rPr>
                <w:lang w:val="en-GB"/>
              </w:rPr>
              <w:t>Changes in fair value and gains and losses at derecognition of these financial assets are recognised in the statement of income.</w:t>
            </w:r>
          </w:p>
          <w:p w:rsidR="002A103C" w:rsidRPr="00D01C1F" w:rsidP="00C12360" w14:paraId="2E217A78" w14:textId="77777777">
            <w:pPr>
              <w:pStyle w:val="Bodytext2"/>
              <w:rPr>
                <w:lang w:val="en-GB"/>
              </w:rPr>
            </w:pPr>
          </w:p>
          <w:p w:rsidR="002A103C" w:rsidRPr="00D01C1F" w:rsidP="00C12360" w14:paraId="556427CE" w14:textId="67C98CAB">
            <w:pPr>
              <w:pStyle w:val="Bodytext2"/>
              <w:rPr>
                <w:lang w:val="en-GB"/>
              </w:rPr>
            </w:pPr>
            <w:r w:rsidRPr="00D01C1F">
              <w:rPr>
                <w:lang w:val="en-GB"/>
              </w:rPr>
              <w:t>Gai</w:t>
            </w:r>
            <w:r w:rsidRPr="00D01C1F">
              <w:rPr>
                <w:lang w:val="en-GB"/>
              </w:rPr>
              <w:t>ns and losses from fair valuation and the disposal and impairments of shares that are attributable to operating activities are included in operating income, while gains and losses from fair valuation and the disposal and impairments of other shares are inc</w:t>
            </w:r>
            <w:r w:rsidRPr="00D01C1F">
              <w:rPr>
                <w:lang w:val="en-GB"/>
              </w:rPr>
              <w:t>luded in financial income and expenses.</w:t>
            </w:r>
          </w:p>
          <w:p w:rsidR="002A103C" w:rsidRPr="00575BD7" w:rsidP="002A103C" w14:paraId="7E57FE59" w14:textId="77777777">
            <w:pPr>
              <w:pStyle w:val="Bodytext2"/>
              <w:rPr>
                <w:color w:val="0F172B"/>
                <w:lang w:val="en-GB"/>
              </w:rPr>
            </w:pPr>
          </w:p>
          <w:p w:rsidR="002A103C" w:rsidRPr="00575BD7" w:rsidP="002A103C" w14:paraId="10C5877C" w14:textId="22FD429F">
            <w:pPr>
              <w:pStyle w:val="Heading13"/>
              <w:rPr>
                <w:lang w:val="en-GB"/>
              </w:rPr>
            </w:pPr>
            <w:r w:rsidRPr="00575BD7">
              <w:rPr>
                <w:lang w:val="en-GB"/>
              </w:rPr>
              <w:t>Financial liabilities</w:t>
            </w:r>
          </w:p>
          <w:p w:rsidR="002A103C" w:rsidRPr="00D01C1F" w:rsidP="00C12360" w14:paraId="04EB49F0" w14:textId="77777777">
            <w:pPr>
              <w:pStyle w:val="Bodytext2"/>
              <w:rPr>
                <w:lang w:val="en-GB"/>
              </w:rPr>
            </w:pPr>
            <w:r w:rsidRPr="00D01C1F">
              <w:rPr>
                <w:lang w:val="en-GB"/>
              </w:rPr>
              <w:t>Financial liabilities recognised at fair value through the statement of income include derivatives that are not eligible for hedge accounting.</w:t>
            </w:r>
          </w:p>
          <w:p w:rsidR="002A103C" w:rsidRPr="00D01C1F" w:rsidP="00C12360" w14:paraId="51801DE8" w14:textId="77777777">
            <w:pPr>
              <w:pStyle w:val="Bodytext2"/>
              <w:rPr>
                <w:lang w:val="en-GB"/>
              </w:rPr>
            </w:pPr>
          </w:p>
          <w:p w:rsidR="002A103C" w:rsidRPr="00D01C1F" w:rsidP="00C12360" w14:paraId="3B081D15" w14:textId="62EA132D">
            <w:pPr>
              <w:pStyle w:val="Bodytext2"/>
              <w:rPr>
                <w:lang w:val="en-GB"/>
              </w:rPr>
            </w:pPr>
            <w:r w:rsidRPr="00D01C1F">
              <w:rPr>
                <w:lang w:val="en-GB"/>
              </w:rPr>
              <w:t xml:space="preserve">Changes in fair value and gains and losses at </w:t>
            </w:r>
            <w:r w:rsidRPr="00D01C1F">
              <w:rPr>
                <w:lang w:val="en-GB"/>
              </w:rPr>
              <w:t>derecognition of these financial assets are recognised in the statement of income.</w:t>
            </w:r>
          </w:p>
          <w:p w:rsidR="002A103C" w:rsidRPr="00575BD7" w:rsidP="002A103C" w14:paraId="41507343" w14:textId="77777777">
            <w:pPr>
              <w:pStyle w:val="Bodytext2"/>
              <w:rPr>
                <w:color w:val="0F172B"/>
                <w:lang w:val="en-GB"/>
              </w:rPr>
            </w:pPr>
          </w:p>
          <w:p w:rsidR="002A103C" w:rsidRPr="00575BD7" w:rsidP="002A103C" w14:paraId="4662B9DD" w14:textId="77777777">
            <w:pPr>
              <w:pStyle w:val="Heading13"/>
              <w:rPr>
                <w:lang w:val="en-GB"/>
              </w:rPr>
            </w:pPr>
            <w:r w:rsidRPr="00575BD7">
              <w:rPr>
                <w:lang w:val="en-GB"/>
              </w:rPr>
              <w:t>Financial Instruments at fair value through other comprehensive income</w:t>
            </w:r>
          </w:p>
          <w:p w:rsidR="002A103C" w:rsidRPr="00D01C1F" w:rsidP="00C12360" w14:paraId="54813C09" w14:textId="10C75C1A">
            <w:pPr>
              <w:pStyle w:val="Bodytext2"/>
              <w:rPr>
                <w:lang w:val="en-GB"/>
              </w:rPr>
            </w:pPr>
            <w:r w:rsidRPr="00D01C1F">
              <w:rPr>
                <w:lang w:val="en-GB"/>
              </w:rPr>
              <w:t xml:space="preserve">Financial assets and liabilities recognised at fair value through other comprehensive income include </w:t>
            </w:r>
            <w:r w:rsidRPr="00D01C1F">
              <w:rPr>
                <w:lang w:val="en-GB"/>
              </w:rPr>
              <w:t>the effective portion of derivates eligible for hedge accounting.</w:t>
            </w:r>
          </w:p>
          <w:p w:rsidR="002A103C" w:rsidRPr="00D01C1F" w:rsidP="00C12360" w14:paraId="7CE8FC8F" w14:textId="77777777">
            <w:pPr>
              <w:pStyle w:val="Bodytext2"/>
              <w:rPr>
                <w:lang w:val="en-GB"/>
              </w:rPr>
            </w:pPr>
          </w:p>
          <w:p w:rsidR="002A103C" w:rsidP="00C12360" w14:paraId="112DEB3E" w14:textId="77777777">
            <w:pPr>
              <w:pStyle w:val="Bodytext2"/>
            </w:pPr>
            <w:r w:rsidRPr="00D01C1F">
              <w:rPr>
                <w:lang w:val="en-GB"/>
              </w:rPr>
              <w:t xml:space="preserve">Information on measurement categories of derivatives and financial instruments in hedge accounting are presented in Note 5.7. </w:t>
            </w:r>
            <w:r w:rsidRPr="00C12360">
              <w:t>Derivative financial instruments.</w:t>
            </w:r>
          </w:p>
        </w:tc>
      </w:tr>
    </w:tbl>
    <w:p w:rsidR="002A103C" w:rsidP="002A103C" w14:paraId="71F97040" w14:textId="77777777">
      <w:pPr>
        <w:pStyle w:val="Bodytext2"/>
        <w:rPr>
          <w:color w:val="0F172B"/>
        </w:rPr>
      </w:pPr>
    </w:p>
    <w:p w:rsidR="002A103C" w:rsidP="002A103C" w14:paraId="09543E04" w14:textId="77777777">
      <w:pPr>
        <w:pStyle w:val="Heading13"/>
      </w:pPr>
      <w:r>
        <w:t>2020</w:t>
      </w:r>
    </w:p>
    <w:p w:rsidR="002A103C" w:rsidP="002A103C" w14:paraId="7FDBCF2E" w14:textId="77777777">
      <w:pPr>
        <w:pStyle w:val="Bodytext2"/>
        <w:rPr>
          <w:color w:val="0F172B"/>
        </w:rPr>
      </w:pPr>
    </w:p>
    <w:tbl>
      <w:tblPr>
        <w:tblStyle w:val="TableNormal"/>
        <w:tblCaption w:val="table_52_measurement_category_cur"/>
        <w:tblW w:w="7290" w:type="dxa"/>
        <w:tblLayout w:type="fixed"/>
        <w:tblLook w:val="0600"/>
      </w:tblPr>
      <w:tblGrid>
        <w:gridCol w:w="2565"/>
        <w:gridCol w:w="945"/>
        <w:gridCol w:w="945"/>
        <w:gridCol w:w="945"/>
        <w:gridCol w:w="945"/>
        <w:gridCol w:w="945"/>
      </w:tblGrid>
      <w:tr>
        <w:tblPrEx>
          <w:tblW w:w="7290" w:type="dxa"/>
          <w:tblLayout w:type="fixed"/>
          <w:tblLook w:val="0600"/>
        </w:tblPrEx>
        <w:trPr>
          <w:trHeight w:val="240"/>
        </w:trPr>
        <w:tc>
          <w:tcPr>
            <w:tcW w:w="25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Measured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amortised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cost</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At 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value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through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income</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At fair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through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compre-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hensive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income</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Carrying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amounts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financial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position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items</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financial assets</w:t>
            </w: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investments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investments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financial assets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nil"/>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920</w:t>
            </w:r>
          </w:p>
        </w:tc>
        <w:tc>
          <w:tcPr>
            <w:tcW w:w="945"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920</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920</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 for sale</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receivables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652*</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265</w:t>
            </w: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919</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919</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by measurement category</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1,608</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302</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1,934</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1,934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financial liabilities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1,129</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1,129</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1,139</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financial liabilities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198</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198</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198</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411</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411</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liabilities</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by measurement category</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1,743</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1,770</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1,780</w:t>
            </w:r>
          </w:p>
        </w:tc>
      </w:tr>
    </w:tbl>
    <w:p w:rsidR="002A103C" w:rsidP="002A103C" w14:paraId="7FF83134" w14:textId="77777777">
      <w:pPr>
        <w:pStyle w:val="Bodytext2"/>
        <w:rPr>
          <w:color w:val="0F172B"/>
        </w:rPr>
      </w:pPr>
    </w:p>
    <w:p w:rsidR="002A103C" w:rsidP="002A103C" w14:paraId="6F84A01C" w14:textId="240CD4CF">
      <w:pPr>
        <w:pStyle w:val="Bodytext2"/>
        <w:rPr>
          <w:color w:val="0F172B"/>
        </w:rPr>
      </w:pPr>
      <w:r>
        <w:rPr>
          <w:color w:val="0F172B"/>
        </w:rPr>
        <w:t>* In addition, the Group has cash and cash equivalents measured at amortised cost of EUR 14 million related to assets held for sale.</w:t>
      </w:r>
    </w:p>
    <w:p w:rsidR="002A103C" w:rsidP="002A103C" w14:paraId="4DFF34B4" w14:textId="77777777">
      <w:pPr>
        <w:pStyle w:val="Bodytext2"/>
        <w:rPr>
          <w:color w:val="0F172B"/>
        </w:rPr>
      </w:pPr>
    </w:p>
    <w:p w:rsidR="002A103C" w:rsidP="002A103C" w14:paraId="5295B1D6" w14:textId="77777777">
      <w:pPr>
        <w:pStyle w:val="Heading13"/>
      </w:pPr>
      <w:r>
        <w:t>2019</w:t>
      </w:r>
    </w:p>
    <w:p w:rsidR="002A103C" w:rsidP="002A103C" w14:paraId="53D42D6A" w14:textId="77777777">
      <w:pPr>
        <w:pStyle w:val="Bodytext2"/>
        <w:rPr>
          <w:color w:val="0F172B"/>
        </w:rPr>
      </w:pPr>
    </w:p>
    <w:tbl>
      <w:tblPr>
        <w:tblStyle w:val="TableNormal"/>
        <w:tblCaption w:val="table_52_measurement_category_pre"/>
        <w:tblW w:w="7290" w:type="dxa"/>
        <w:tblLayout w:type="fixed"/>
        <w:tblLook w:val="0600"/>
      </w:tblPr>
      <w:tblGrid>
        <w:gridCol w:w="2565"/>
        <w:gridCol w:w="945"/>
        <w:gridCol w:w="945"/>
        <w:gridCol w:w="945"/>
        <w:gridCol w:w="945"/>
        <w:gridCol w:w="945"/>
      </w:tblGrid>
      <w:tr>
        <w:tblPrEx>
          <w:tblW w:w="7290" w:type="dxa"/>
          <w:tblLayout w:type="fixed"/>
          <w:tblLook w:val="0600"/>
        </w:tblPrEx>
        <w:trPr>
          <w:trHeight w:val="240"/>
        </w:trPr>
        <w:tc>
          <w:tcPr>
            <w:tcW w:w="256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Measured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amortised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cost</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At 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value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through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income</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At fair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through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compre-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hensive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income</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Carrying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amounts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financial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position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items</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financial assets</w:t>
            </w: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investments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investments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financial assets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1,232</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1,232</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1,232</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 for sale</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receivables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343*</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358</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358</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by measurement category</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1,600</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1,662</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1,662</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financial liabilities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997</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997</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1,005</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financial liabilities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99</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99</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99</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624</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624</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liabilities</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by measurement category</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1,724</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1,747</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1,756</w:t>
            </w:r>
          </w:p>
        </w:tc>
      </w:tr>
    </w:tbl>
    <w:p w:rsidR="002A103C" w:rsidP="002A103C" w14:paraId="466A5927" w14:textId="1073D8C1">
      <w:pPr>
        <w:pStyle w:val="Bodytext2"/>
        <w:rPr>
          <w:color w:val="0F172B"/>
        </w:rPr>
      </w:pPr>
    </w:p>
    <w:p w:rsidR="00344D28" w:rsidP="00344D28" w14:paraId="3EC1DF1E" w14:textId="4ED903EF">
      <w:pPr>
        <w:pStyle w:val="Bodytext2"/>
        <w:rPr>
          <w:color w:val="0F172B"/>
        </w:rPr>
      </w:pPr>
      <w:r>
        <w:rPr>
          <w:color w:val="0F172B"/>
        </w:rPr>
        <w:t xml:space="preserve">* In addition, the Group has cash and cash </w:t>
      </w:r>
      <w:r>
        <w:rPr>
          <w:color w:val="0F172B"/>
        </w:rPr>
        <w:t>equivalents measured at amortised cost of EUR 11 million related to assets held for sale.</w:t>
      </w:r>
    </w:p>
    <w:p w:rsidR="00344D28" w:rsidP="002A103C" w14:paraId="474F0D66" w14:textId="77777777">
      <w:pPr>
        <w:pStyle w:val="Bodytext2"/>
        <w:rPr>
          <w:color w:val="0F172B"/>
        </w:rPr>
      </w:pPr>
    </w:p>
    <w:p w:rsidR="002A103C" w:rsidP="002A103C" w14:paraId="78EB104C" w14:textId="77777777">
      <w:pPr>
        <w:pStyle w:val="Heading13"/>
      </w:pPr>
      <w:r>
        <w:t>Fair value hierarchy</w:t>
      </w:r>
    </w:p>
    <w:tbl>
      <w:tblPr>
        <w:tblStyle w:val="TableGrid0"/>
        <w:tblW w:w="7371" w:type="dxa"/>
        <w:tblInd w:w="5" w:type="dxa"/>
        <w:tblLook w:val="04A0"/>
      </w:tblPr>
      <w:tblGrid>
        <w:gridCol w:w="7371"/>
      </w:tblGrid>
      <w:tr w14:paraId="07A5C633" w14:textId="77777777" w:rsidTr="002A103C">
        <w:tblPrEx>
          <w:tblW w:w="7371" w:type="dxa"/>
          <w:tblInd w:w="5" w:type="dxa"/>
          <w:tblLook w:val="04A0"/>
        </w:tblPrEx>
        <w:tc>
          <w:tcPr>
            <w:tcW w:w="7371" w:type="dxa"/>
            <w:shd w:val="clear" w:color="auto" w:fill="B6C8D1"/>
          </w:tcPr>
          <w:p w:rsidR="00B1190B" w:rsidRPr="0066431F" w:rsidP="00B1190B" w14:paraId="286E3800" w14:textId="77777777">
            <w:pPr>
              <w:pStyle w:val="Heading13"/>
              <w:rPr>
                <w:lang w:val="en-GB"/>
              </w:rPr>
            </w:pPr>
            <w:r w:rsidRPr="0066431F">
              <w:rPr>
                <w:lang w:val="en-GB"/>
              </w:rPr>
              <w:t>Accounting principles</w:t>
            </w:r>
          </w:p>
          <w:p w:rsidR="002A103C" w:rsidRPr="00575BD7" w:rsidP="002A103C" w14:paraId="6CDD195C" w14:textId="33002A94">
            <w:pPr>
              <w:pStyle w:val="Bodytext2"/>
              <w:rPr>
                <w:color w:val="0F172B"/>
                <w:lang w:val="en-GB"/>
              </w:rPr>
            </w:pPr>
            <w:r w:rsidRPr="00575BD7">
              <w:rPr>
                <w:color w:val="0F172B"/>
                <w:lang w:val="en-GB"/>
              </w:rPr>
              <w:t>Wärtsilä uses the following categorisation for determining and disclosing the fair value of financial instruments by valua</w:t>
            </w:r>
            <w:r w:rsidRPr="00575BD7">
              <w:rPr>
                <w:color w:val="0F172B"/>
                <w:lang w:val="en-GB"/>
              </w:rPr>
              <w:t>tion technique:</w:t>
            </w:r>
          </w:p>
          <w:p w:rsidR="002A103C" w:rsidRPr="00575BD7" w:rsidP="002A103C" w14:paraId="7922D208" w14:textId="77777777">
            <w:pPr>
              <w:pStyle w:val="Bodytext2"/>
              <w:rPr>
                <w:color w:val="0F172B"/>
                <w:lang w:val="en-GB"/>
              </w:rPr>
            </w:pPr>
          </w:p>
          <w:p w:rsidR="002A103C" w:rsidRPr="00E72091" w:rsidP="002A103C" w14:paraId="47E08799" w14:textId="1BA1E12C">
            <w:pPr>
              <w:pStyle w:val="Bodytext2"/>
              <w:rPr>
                <w:color w:val="0F172B"/>
                <w:lang w:val="en-GB"/>
              </w:rPr>
            </w:pPr>
            <w:r w:rsidRPr="00E72091">
              <w:rPr>
                <w:color w:val="0F172B"/>
                <w:lang w:val="en-GB"/>
              </w:rPr>
              <w:t>Level 1: The quoted prices for the financial instruments are directly and regularly available on active publicly traded markets or other publicly available sources.</w:t>
            </w:r>
          </w:p>
          <w:p w:rsidR="002A103C" w:rsidRPr="00E72091" w:rsidP="002A103C" w14:paraId="0BBEDAD1" w14:textId="77777777">
            <w:pPr>
              <w:pStyle w:val="Bodytext2"/>
              <w:rPr>
                <w:color w:val="0F172B"/>
                <w:lang w:val="en-GB"/>
              </w:rPr>
            </w:pPr>
          </w:p>
          <w:p w:rsidR="002A103C" w:rsidRPr="00575BD7" w:rsidP="002A103C" w14:paraId="33DD3C6C" w14:textId="2C480C82">
            <w:pPr>
              <w:pStyle w:val="Bodytext2"/>
              <w:rPr>
                <w:color w:val="0F172B"/>
                <w:lang w:val="en-GB"/>
              </w:rPr>
            </w:pPr>
            <w:r w:rsidRPr="00E72091">
              <w:rPr>
                <w:color w:val="0F172B"/>
                <w:lang w:val="en-GB"/>
              </w:rPr>
              <w:t>Level 2: The prices for the financial instruments are determined by using</w:t>
            </w:r>
            <w:r w:rsidRPr="00E72091">
              <w:rPr>
                <w:color w:val="0F172B"/>
                <w:lang w:val="en-GB"/>
              </w:rPr>
              <w:t xml:space="preserve"> a valuation method for which the input data is directly or indirectly available on a publicly traded markets or other publicly available sources.</w:t>
            </w:r>
          </w:p>
          <w:p w:rsidR="002A103C" w:rsidRPr="00575BD7" w:rsidP="002A103C" w14:paraId="4963D36D" w14:textId="77777777">
            <w:pPr>
              <w:pStyle w:val="Bodytext2"/>
              <w:rPr>
                <w:color w:val="0F172B"/>
                <w:lang w:val="en-GB"/>
              </w:rPr>
            </w:pPr>
          </w:p>
          <w:p w:rsidR="002A103C" w:rsidRPr="00575BD7" w:rsidP="002A103C" w14:paraId="15B2CE6C" w14:textId="6314A18E">
            <w:pPr>
              <w:pStyle w:val="Bodytext2"/>
              <w:rPr>
                <w:color w:val="0F172B"/>
                <w:lang w:val="en-GB"/>
              </w:rPr>
            </w:pPr>
            <w:r w:rsidRPr="00575BD7">
              <w:rPr>
                <w:color w:val="0F172B"/>
                <w:lang w:val="en-GB"/>
              </w:rPr>
              <w:t>Level 3: The financial instruments are categorised into level 3 fair value if the prices for the inputs of t</w:t>
            </w:r>
            <w:r w:rsidRPr="00575BD7">
              <w:rPr>
                <w:color w:val="0F172B"/>
                <w:lang w:val="en-GB"/>
              </w:rPr>
              <w:t>he valuation method are not publicly available</w:t>
            </w:r>
            <w:r>
              <w:rPr>
                <w:color w:val="0F172B"/>
                <w:lang w:val="en-GB"/>
              </w:rPr>
              <w:t>,</w:t>
            </w:r>
            <w:r w:rsidRPr="00575BD7">
              <w:rPr>
                <w:color w:val="0F172B"/>
                <w:lang w:val="en-GB"/>
              </w:rPr>
              <w:t xml:space="preserve"> and when the financial instruments are measured using an independent valuation method. </w:t>
            </w:r>
          </w:p>
        </w:tc>
      </w:tr>
    </w:tbl>
    <w:p w:rsidR="002A103C" w:rsidRPr="0066431F" w:rsidP="002A103C" w14:paraId="7DB15882" w14:textId="376E8419">
      <w:pPr>
        <w:pStyle w:val="Bodytext2"/>
        <w:rPr>
          <w:color w:val="0F172B"/>
          <w:sz w:val="2"/>
          <w:szCs w:val="2"/>
        </w:rPr>
      </w:pPr>
      <w:r>
        <w:rPr>
          <w:color w:val="0F172B"/>
        </w:rPr>
        <w:br w:type="column"/>
      </w:r>
    </w:p>
    <w:p w:rsidR="002A103C" w:rsidRPr="005E7F25" w:rsidP="005E7F25" w14:paraId="179D6618" w14:textId="77777777">
      <w:pPr>
        <w:pStyle w:val="Bodytext2"/>
      </w:pPr>
      <w:r w:rsidRPr="005E7F25">
        <w:t>Specific valuation techniques used to value financial instruments include:</w:t>
      </w:r>
    </w:p>
    <w:p w:rsidR="002A103C" w:rsidRPr="005E7F25" w:rsidP="005E7F25" w14:paraId="0C626BBB" w14:textId="77777777">
      <w:pPr>
        <w:pStyle w:val="Bodytext2"/>
      </w:pPr>
      <w:r w:rsidRPr="005E7F25">
        <w:t>• the fair value of forward foreign exchang</w:t>
      </w:r>
      <w:r w:rsidRPr="005E7F25">
        <w:t>e contracts is determined by using forward rates at the closing date</w:t>
      </w:r>
    </w:p>
    <w:p w:rsidR="002A103C" w:rsidRPr="005E7F25" w:rsidP="005E7F25" w14:paraId="36CBA393" w14:textId="2CC3D9F0">
      <w:pPr>
        <w:pStyle w:val="Bodytext2"/>
      </w:pPr>
      <w:r w:rsidRPr="005E7F25">
        <w:t>• the fair value of interest rate swaps is calculated as being the present value of the estimated future cash flows based on observable yield curves</w:t>
      </w:r>
    </w:p>
    <w:p w:rsidR="002A103C" w:rsidRPr="005E7F25" w:rsidP="005E7F25" w14:paraId="3D4F128C" w14:textId="77777777">
      <w:pPr>
        <w:pStyle w:val="Bodytext2"/>
      </w:pPr>
      <w:r w:rsidRPr="005E7F25">
        <w:t xml:space="preserve">• the use of quoted market </w:t>
      </w:r>
      <w:r w:rsidRPr="005E7F25">
        <w:t>prices or dealer quotes for similar instruments</w:t>
      </w:r>
    </w:p>
    <w:p w:rsidR="002A103C" w:rsidRPr="005E7F25" w:rsidP="005E7F25" w14:paraId="1D875E07" w14:textId="77777777">
      <w:pPr>
        <w:pStyle w:val="Bodytext2"/>
      </w:pPr>
    </w:p>
    <w:tbl>
      <w:tblPr>
        <w:tblStyle w:val="TableNormal"/>
        <w:tblCaption w:val="table_52_fair_value_hierarchy"/>
        <w:tblW w:w="7290" w:type="dxa"/>
        <w:tblLayout w:type="fixed"/>
        <w:tblLook w:val="0600"/>
      </w:tblPr>
      <w:tblGrid>
        <w:gridCol w:w="2565"/>
        <w:gridCol w:w="945"/>
        <w:gridCol w:w="945"/>
        <w:gridCol w:w="945"/>
        <w:gridCol w:w="945"/>
        <w:gridCol w:w="945"/>
      </w:tblGrid>
      <w:tr>
        <w:tblPrEx>
          <w:tblW w:w="7290" w:type="dxa"/>
          <w:tblLayout w:type="fixed"/>
          <w:tblLook w:val="0600"/>
        </w:tblPrEx>
        <w:trPr>
          <w:trHeight w:hRule="exact" w:val="240"/>
        </w:trPr>
        <w:tc>
          <w:tcPr>
            <w:tcW w:w="256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nil"/>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nil"/>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94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nil"/>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Level 2</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Level 3</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Level 2</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Level 3</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Financial assets</w:t>
            </w: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investments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10"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investments, non-current</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 non-current</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Financial liabilities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10"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non-current*</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1,139</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1,005</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bl>
    <w:p w:rsidR="002A103C" w:rsidP="002A103C" w14:paraId="3C1B5567" w14:textId="77777777">
      <w:pPr>
        <w:pStyle w:val="Bodytext2"/>
        <w:rPr>
          <w:color w:val="0F172B"/>
        </w:rPr>
      </w:pPr>
    </w:p>
    <w:p w:rsidR="002A103C" w:rsidRPr="005E7F25" w:rsidP="005E7F25" w14:paraId="7FA81B45" w14:textId="201C0457">
      <w:pPr>
        <w:pStyle w:val="Bodytext2"/>
      </w:pPr>
      <w:r w:rsidRPr="005E7F25">
        <w:t>* Measured at amortised cost in the statement of financial position.</w:t>
      </w:r>
    </w:p>
    <w:p w:rsidR="002A103C" w:rsidRPr="005E7F25" w:rsidP="005E7F25" w14:paraId="6F2B1183" w14:textId="77777777">
      <w:pPr>
        <w:pStyle w:val="Bodytext2"/>
      </w:pPr>
    </w:p>
    <w:p w:rsidR="002A103C" w:rsidRPr="005E7F25" w:rsidP="005E7F25" w14:paraId="624BBAB6" w14:textId="191EEBDB">
      <w:pPr>
        <w:pStyle w:val="Bodytext2"/>
      </w:pPr>
      <w:r w:rsidRPr="005E7F25">
        <w:t>Additional information on financial liabilities is presented in Note 5.6. Maturity analysis of financ</w:t>
      </w:r>
      <w:r w:rsidRPr="005E7F25">
        <w:t>ial liabilities.</w:t>
      </w:r>
    </w:p>
    <w:p w:rsidR="002A103C" w:rsidP="002A103C" w14:paraId="0E46B628" w14:textId="77777777">
      <w:pPr>
        <w:pStyle w:val="Bodytext2"/>
        <w:rPr>
          <w:color w:val="0F172B"/>
        </w:rPr>
      </w:pPr>
    </w:p>
    <w:p w:rsidR="002A103C" w:rsidP="002A103C" w14:paraId="49C6CE6F" w14:textId="77777777">
      <w:pPr>
        <w:pStyle w:val="Heading13"/>
      </w:pPr>
      <w:r>
        <w:t>Other investments</w:t>
      </w:r>
    </w:p>
    <w:p w:rsidR="002A103C" w:rsidRPr="005E7F25" w:rsidP="005E7F25" w14:paraId="6AEA511D" w14:textId="118578F1">
      <w:pPr>
        <w:pStyle w:val="Bodytext2"/>
      </w:pPr>
      <w:r w:rsidRPr="005E7F25">
        <w:t>Other investments include unlisted shares carried at fair value. These investments are valued using certain DCF models where critical assumptions relate to WACC level and expected cash flows from future dividends. Howeve</w:t>
      </w:r>
      <w:r w:rsidRPr="005E7F25">
        <w:t>r, the results from different scenarios vary a lot. The management therefore considers that the valuation at amortised cost is the best estimate of fair value.</w:t>
      </w:r>
    </w:p>
    <w:p w:rsidR="002A103C" w:rsidRPr="005E7F25" w:rsidP="005E7F25" w14:paraId="3A36A8BE" w14:textId="77777777">
      <w:pPr>
        <w:pStyle w:val="Bodytext2"/>
      </w:pPr>
    </w:p>
    <w:tbl>
      <w:tblPr>
        <w:tblStyle w:val="TableNormal"/>
        <w:tblCaption w:val="table_52_other_investments"/>
        <w:tblW w:w="7290" w:type="dxa"/>
        <w:tblLayout w:type="fixed"/>
        <w:tblLook w:val="0600"/>
      </w:tblPr>
      <w:tblGrid>
        <w:gridCol w:w="2565"/>
        <w:gridCol w:w="945"/>
        <w:gridCol w:w="945"/>
        <w:gridCol w:w="945"/>
        <w:gridCol w:w="945"/>
        <w:gridCol w:w="945"/>
      </w:tblGrid>
      <w:tr>
        <w:tblPrEx>
          <w:tblW w:w="7290" w:type="dxa"/>
          <w:tblLayout w:type="fixed"/>
          <w:tblLook w:val="0600"/>
        </w:tblPrEx>
        <w:trPr>
          <w:trHeight w:hRule="exact" w:val="240"/>
        </w:trPr>
        <w:tc>
          <w:tcPr>
            <w:tcW w:w="25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Carrying amount on 1 January</w:t>
            </w: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Acquired shares</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400" w:type="dxa"/>
            <w:gridSpan w:val="4"/>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r>
    </w:tbl>
    <w:p w:rsidR="002A103C" w:rsidRPr="005E7F25" w:rsidP="005E7F25" w14:paraId="7F634394" w14:textId="77777777">
      <w:pPr>
        <w:pStyle w:val="Bodytext2"/>
      </w:pPr>
    </w:p>
    <w:p w:rsidR="002A103C" w:rsidRPr="00AD55D7" w:rsidP="005E7F25" w14:paraId="050A34B3" w14:textId="06F49CC7">
      <w:pPr>
        <w:pStyle w:val="Bodytext2"/>
        <w:rPr>
          <w:sz w:val="2"/>
          <w:szCs w:val="2"/>
        </w:rPr>
      </w:pPr>
      <w:r w:rsidRPr="005E7F25">
        <w:t xml:space="preserve">In 2020, the cost for other unlisted shares (level 3) was EUR </w:t>
      </w:r>
      <w:r w:rsidRPr="005E7F25">
        <w:t>19 million (18), and the market value of them was EUR 19 million (18).</w:t>
      </w:r>
      <w:r>
        <w:br w:type="column"/>
      </w:r>
    </w:p>
    <w:p w:rsidR="00AA61FB" w:rsidRPr="00AA61FB" w:rsidP="00AA61FB" w14:paraId="410E9B53" w14:textId="77777777">
      <w:pPr>
        <w:pStyle w:val="Heading12"/>
      </w:pPr>
      <w:bookmarkStart w:id="1180" w:name="RG_MARKER_4170"/>
      <w:r w:rsidRPr="00AA61FB">
        <w:t>5.3. CASH AND CASH EQUIVALENTS</w:t>
      </w:r>
      <w:bookmarkEnd w:id="1180"/>
    </w:p>
    <w:tbl>
      <w:tblPr>
        <w:tblStyle w:val="TableGrid"/>
        <w:tblW w:w="7371" w:type="dxa"/>
        <w:tblLook w:val="04A0"/>
      </w:tblPr>
      <w:tblGrid>
        <w:gridCol w:w="7371"/>
      </w:tblGrid>
      <w:tr w14:paraId="03642AA2" w14:textId="77777777" w:rsidTr="00AA61FB">
        <w:tblPrEx>
          <w:tblW w:w="7371" w:type="dxa"/>
          <w:tblLook w:val="04A0"/>
        </w:tblPrEx>
        <w:tc>
          <w:tcPr>
            <w:tcW w:w="7371" w:type="dxa"/>
            <w:tcBorders>
              <w:top w:val="nil"/>
              <w:left w:val="nil"/>
              <w:bottom w:val="nil"/>
              <w:right w:val="nil"/>
            </w:tcBorders>
            <w:shd w:val="clear" w:color="auto" w:fill="B6C8D1"/>
            <w:hideMark/>
          </w:tcPr>
          <w:p w:rsidR="00AA61FB" w:rsidRPr="0047121E" w:rsidP="00AA61FB" w14:paraId="686990C0" w14:textId="77777777">
            <w:pPr>
              <w:pStyle w:val="Heading13"/>
              <w:rPr>
                <w:lang w:val="en-GB"/>
              </w:rPr>
            </w:pPr>
            <w:r w:rsidRPr="00EB6285">
              <w:rPr>
                <w:lang w:val="en-GB"/>
              </w:rPr>
              <w:t>Accounting principles</w:t>
            </w:r>
          </w:p>
          <w:p w:rsidR="00AA61FB" w:rsidRPr="0047121E" w:rsidP="00AA61FB" w14:paraId="34E2FF2D" w14:textId="3A0F742A">
            <w:pPr>
              <w:pStyle w:val="Bodytext2"/>
              <w:rPr>
                <w:lang w:val="en-GB"/>
              </w:rPr>
            </w:pPr>
            <w:r w:rsidRPr="0047121E">
              <w:rPr>
                <w:lang w:val="en-GB"/>
              </w:rPr>
              <w:t xml:space="preserve">Cash and cash equivalents comprise cash in hand, deposits held at call with banks, and other short-term cash investments. Other short-term cash investments are highly liquid investments that are </w:t>
            </w:r>
            <w:r w:rsidRPr="0047121E">
              <w:rPr>
                <w:lang w:val="en-GB"/>
              </w:rPr>
              <w:t>subject to only minor fluctuations in value</w:t>
            </w:r>
            <w:r>
              <w:rPr>
                <w:lang w:val="en-GB"/>
              </w:rPr>
              <w:t>,</w:t>
            </w:r>
            <w:r w:rsidRPr="0047121E">
              <w:rPr>
                <w:lang w:val="en-GB"/>
              </w:rPr>
              <w:t xml:space="preserve"> and</w:t>
            </w:r>
            <w:r>
              <w:rPr>
                <w:lang w:val="en-GB"/>
              </w:rPr>
              <w:t xml:space="preserve"> which</w:t>
            </w:r>
            <w:r w:rsidRPr="0047121E">
              <w:rPr>
                <w:lang w:val="en-GB"/>
              </w:rPr>
              <w:t xml:space="preserve"> have a maturity of up to three months on the date of acquisition. Cash in hand and deposits held at call are presented at amortised cost. Other cash investments are mainly measured at fair value, excep</w:t>
            </w:r>
            <w:r w:rsidRPr="0047121E">
              <w:rPr>
                <w:lang w:val="en-GB"/>
              </w:rPr>
              <w:t>t for commercial paper investments that are presented at amortised cost. Credit accounts related to Group cash pool accounts are included in current financial liabilities.</w:t>
            </w:r>
          </w:p>
        </w:tc>
      </w:tr>
    </w:tbl>
    <w:p w:rsidR="00AA61FB" w:rsidRPr="00AA61FB" w:rsidP="00AA61FB" w14:paraId="34C42EB1" w14:textId="77777777">
      <w:pPr>
        <w:pStyle w:val="Bodytext2"/>
      </w:pPr>
    </w:p>
    <w:tbl>
      <w:tblPr>
        <w:tblStyle w:val="TableNormal"/>
        <w:tblCaption w:val="table_53"/>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bank balances*</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628</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equivalents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290</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919</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358</w:t>
            </w:r>
          </w:p>
        </w:tc>
      </w:tr>
    </w:tbl>
    <w:p w:rsidR="00AA61FB" w:rsidRPr="00AA61FB" w:rsidP="00AA61FB" w14:paraId="650EA6B9" w14:textId="77777777">
      <w:pPr>
        <w:pStyle w:val="Bodytext2"/>
      </w:pPr>
    </w:p>
    <w:p w:rsidR="00AA61FB" w:rsidRPr="00AA61FB" w:rsidP="00AA61FB" w14:paraId="7E1F0455" w14:textId="3FC64A8A">
      <w:pPr>
        <w:pStyle w:val="Bodytext2"/>
      </w:pPr>
      <w:r w:rsidRPr="00AA61FB">
        <w:t xml:space="preserve">* EUR </w:t>
      </w:r>
      <w:r>
        <w:t>175</w:t>
      </w:r>
      <w:r w:rsidRPr="00AA61FB">
        <w:t xml:space="preserve"> million (171) of cash and bank balances relate to cash in</w:t>
      </w:r>
      <w:r w:rsidRPr="00AA61FB">
        <w:t xml:space="preserve"> countries where repatriation is limited due to local regulation and</w:t>
      </w:r>
      <w:r>
        <w:t>,</w:t>
      </w:r>
      <w:r w:rsidRPr="00AA61FB">
        <w:t xml:space="preserve"> consequently</w:t>
      </w:r>
      <w:r>
        <w:t>,</w:t>
      </w:r>
      <w:r w:rsidRPr="00AA61FB">
        <w:t xml:space="preserve"> the cash is not immediately available to the parent company.</w:t>
      </w:r>
    </w:p>
    <w:p w:rsidR="00AA61FB" w:rsidRPr="00AA61FB" w:rsidP="00AA61FB" w14:paraId="06F63E1F" w14:textId="77777777">
      <w:pPr>
        <w:pStyle w:val="Bodytext2"/>
      </w:pPr>
    </w:p>
    <w:p w:rsidR="00AA61FB" w:rsidRPr="00AA61FB" w:rsidP="00BA38AE" w14:paraId="4902EA1D" w14:textId="1C91F64A">
      <w:pPr>
        <w:pStyle w:val="Bodytext2"/>
      </w:pPr>
      <w:r w:rsidRPr="00AA61FB">
        <w:t xml:space="preserve">In addition, </w:t>
      </w:r>
      <w:r>
        <w:t xml:space="preserve">the </w:t>
      </w:r>
      <w:r w:rsidRPr="00AA61FB">
        <w:t xml:space="preserve">Group has cash and cash equivalents of EUR </w:t>
      </w:r>
      <w:r>
        <w:t>14</w:t>
      </w:r>
      <w:r w:rsidRPr="00AA61FB">
        <w:t xml:space="preserve"> million (11) </w:t>
      </w:r>
      <w:r>
        <w:t>related</w:t>
      </w:r>
      <w:r w:rsidRPr="00AA61FB">
        <w:t xml:space="preserve"> to assets held for sale.</w:t>
      </w:r>
    </w:p>
    <w:p/>
    <w:p w:rsidR="00785A4E" w:rsidRPr="00785A4E" w:rsidP="00785A4E" w14:paraId="4E4C3942" w14:textId="77777777">
      <w:pPr>
        <w:pStyle w:val="Heading12"/>
      </w:pPr>
      <w:bookmarkStart w:id="1181" w:name="RG_MARKER_4171"/>
      <w:r w:rsidRPr="00785A4E">
        <w:t>5.4. NET DEBT RECONCILIATION</w:t>
      </w:r>
      <w:bookmarkEnd w:id="1181"/>
    </w:p>
    <w:p w:rsidR="00785A4E" w:rsidRPr="00785A4E" w:rsidP="00785A4E" w14:paraId="18A71665" w14:textId="77777777">
      <w:pPr>
        <w:pStyle w:val="Heading13"/>
      </w:pPr>
      <w:r w:rsidRPr="00785A4E">
        <w:t>Net interest-bearing debt</w:t>
      </w:r>
    </w:p>
    <w:p w:rsidR="00785A4E" w:rsidRPr="00785A4E" w:rsidP="00785A4E" w14:paraId="5D12DF68" w14:textId="77777777">
      <w:pPr>
        <w:pStyle w:val="Bodytext2"/>
      </w:pPr>
    </w:p>
    <w:tbl>
      <w:tblPr>
        <w:tblStyle w:val="TableNormal"/>
        <w:tblCaption w:val="table_54_net_ib_debt"/>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hRule="exac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87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non-current</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1,005</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 liabilities, non-current</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current</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156</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 liabilities, current</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interest-bearing liabilities</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1,327</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1,096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receivables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 pertaining to assets held for sale</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interest-bearing assets</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-933</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5610" w:type="dxa"/>
            <w:gridSpan w:val="5"/>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net interest-bearing debt</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394</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726</w:t>
            </w:r>
          </w:p>
        </w:tc>
      </w:tr>
    </w:tbl>
    <w:p w:rsidR="00785A4E" w:rsidRPr="00785A4E" w:rsidP="00785A4E" w14:paraId="1097ED3D" w14:textId="77777777">
      <w:pPr>
        <w:pStyle w:val="Bodytext2"/>
      </w:pPr>
    </w:p>
    <w:p w:rsidR="00785A4E" w:rsidRPr="00785A4E" w:rsidP="00785A4E" w14:paraId="2F74F6DB" w14:textId="77777777">
      <w:pPr>
        <w:pStyle w:val="Heading13"/>
      </w:pPr>
      <w:r w:rsidRPr="00785A4E">
        <w:t>Net debt reconciliation</w:t>
      </w:r>
    </w:p>
    <w:p w:rsidR="00785A4E" w:rsidRPr="00785A4E" w:rsidP="00785A4E" w14:paraId="352F0427" w14:textId="77777777">
      <w:pPr>
        <w:pStyle w:val="Bodytext2"/>
      </w:pPr>
    </w:p>
    <w:p w:rsidR="00785A4E" w:rsidRPr="00785A4E" w:rsidP="00785A4E" w14:paraId="67BF28C7" w14:textId="77777777">
      <w:pPr>
        <w:pStyle w:val="Heading13"/>
      </w:pPr>
      <w:r w:rsidRPr="00785A4E">
        <w:t>2020</w:t>
      </w:r>
    </w:p>
    <w:tbl>
      <w:tblPr>
        <w:tblStyle w:val="TableNormal"/>
        <w:tblCaption w:val="table_54_net_debt_recon_cur"/>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Carrying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amount 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 January 2020</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flows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Changes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exchange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rates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non-cash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movements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Acquistions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and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disposals</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Carrying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amount 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 December 2020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non-current</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851</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155</w:t>
            </w: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current</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 liabilities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188</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receivables</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-369</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-601</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debt</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726</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-374</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394</w:t>
            </w:r>
          </w:p>
        </w:tc>
      </w:tr>
    </w:tbl>
    <w:p w:rsidR="00785A4E" w:rsidRPr="00785A4E" w:rsidP="00785A4E" w14:paraId="18482125" w14:textId="77777777">
      <w:pPr>
        <w:pStyle w:val="Bodytext2"/>
      </w:pPr>
    </w:p>
    <w:p w:rsidR="00785A4E" w:rsidRPr="00785A4E" w:rsidP="00785A4E" w14:paraId="3D692428" w14:textId="274E4434">
      <w:pPr>
        <w:pStyle w:val="Bodytext2"/>
      </w:pPr>
      <w:r w:rsidRPr="00785A4E">
        <w:t>* Includes cash and cash equivalents pertaining to assets held for sale.</w:t>
      </w:r>
    </w:p>
    <w:p w:rsidR="00785A4E" w:rsidRPr="00785A4E" w:rsidP="00785A4E" w14:paraId="059CE7BB" w14:textId="77777777">
      <w:pPr>
        <w:pStyle w:val="Bodytext2"/>
      </w:pPr>
    </w:p>
    <w:p w:rsidR="00785A4E" w:rsidRPr="00785A4E" w:rsidP="00785A4E" w14:paraId="6F729233" w14:textId="77777777">
      <w:pPr>
        <w:pStyle w:val="Heading13"/>
      </w:pPr>
      <w:r w:rsidRPr="00785A4E">
        <w:t>2019</w:t>
      </w:r>
    </w:p>
    <w:tbl>
      <w:tblPr>
        <w:tblStyle w:val="TableNormal"/>
        <w:tblCaption w:val="table_54_net_debt_recon_pre"/>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Carrying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amount 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 January 2019</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flows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Changes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exchange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rates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non-cash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movements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Carrying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amount 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 December 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non-current</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746</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104</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current</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 liabilities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215</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receivables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-487</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119</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debt</w:t>
            </w:r>
          </w:p>
        </w:tc>
        <w:tc>
          <w:tcPr>
            <w:tcW w:w="87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545</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162</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726</w:t>
            </w:r>
          </w:p>
        </w:tc>
      </w:tr>
    </w:tbl>
    <w:p w:rsidR="00E90BB0" w:rsidP="00785A4E" w14:paraId="38855AA7" w14:textId="6EF39A72">
      <w:pPr>
        <w:pStyle w:val="Bodytext2"/>
      </w:pPr>
    </w:p>
    <w:p w:rsidR="00E90BB0" w:rsidRPr="006B295D" w:rsidP="00785A4E" w14:paraId="12790931" w14:textId="352FEAAC">
      <w:pPr>
        <w:pStyle w:val="Bodytext2"/>
        <w:rPr>
          <w:sz w:val="2"/>
          <w:szCs w:val="2"/>
        </w:rPr>
      </w:pPr>
      <w:r w:rsidRPr="00785A4E">
        <w:t>* Includes cash and cash equivalents pertaining to assets held for sale.</w:t>
      </w:r>
      <w:r>
        <w:br w:type="column"/>
      </w:r>
    </w:p>
    <w:p w:rsidR="001730D9" w:rsidP="001730D9" w14:paraId="76922CE6" w14:textId="77777777">
      <w:pPr>
        <w:pStyle w:val="Heading12"/>
      </w:pPr>
      <w:bookmarkStart w:id="1182" w:name="RG_MARKER_4172"/>
      <w:r>
        <w:t>5.5. EQUITY</w:t>
      </w:r>
      <w:bookmarkEnd w:id="1182"/>
    </w:p>
    <w:p w:rsidR="001730D9" w:rsidP="001730D9" w14:paraId="60D17960" w14:textId="156CA33E">
      <w:pPr>
        <w:pStyle w:val="Bodytext2"/>
      </w:pPr>
      <w:r>
        <w:t>Equity consists of share capital, share premium, translation differences, fair value reserve, remeasurements of defined benefit liabilities and retained earnings.</w:t>
      </w:r>
    </w:p>
    <w:p w:rsidR="001730D9" w:rsidP="001730D9" w14:paraId="5F2A4199" w14:textId="77777777">
      <w:pPr>
        <w:pStyle w:val="Bodytext2"/>
      </w:pPr>
    </w:p>
    <w:p w:rsidR="001730D9" w:rsidRPr="009F5FE3" w:rsidP="001730D9" w14:paraId="73236FBC" w14:textId="77777777">
      <w:pPr>
        <w:pStyle w:val="Heading13"/>
      </w:pPr>
      <w:r w:rsidRPr="009F5FE3">
        <w:t>Share capital and number of shares</w:t>
      </w:r>
    </w:p>
    <w:p w:rsidR="001730D9" w:rsidRPr="009F5FE3" w:rsidP="001730D9" w14:paraId="31826161" w14:textId="77777777">
      <w:pPr>
        <w:pStyle w:val="Bodytext2"/>
        <w:rPr>
          <w:b/>
          <w:bCs/>
        </w:rPr>
      </w:pPr>
    </w:p>
    <w:tbl>
      <w:tblPr>
        <w:tblStyle w:val="TableNormal"/>
        <w:tblCaption w:val="table_55_share_capital"/>
        <w:tblW w:w="7305" w:type="dxa"/>
        <w:tblLayout w:type="fixed"/>
        <w:tblLook w:val="0600"/>
      </w:tblPr>
      <w:tblGrid>
        <w:gridCol w:w="3525"/>
        <w:gridCol w:w="945"/>
        <w:gridCol w:w="945"/>
        <w:gridCol w:w="945"/>
        <w:gridCol w:w="945"/>
      </w:tblGrid>
      <w:tr>
        <w:tblPrEx>
          <w:tblW w:w="7305" w:type="dxa"/>
          <w:tblLayout w:type="fixed"/>
          <w:tblLook w:val="0600"/>
        </w:tblPrEx>
        <w:trPr>
          <w:trHeight w:val="300"/>
        </w:trPr>
        <w:tc>
          <w:tcPr>
            <w:tcW w:w="35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2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Share capital</w:t>
            </w:r>
          </w:p>
        </w:tc>
        <w:tc>
          <w:tcPr>
            <w:tcW w:w="94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Number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shares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and votes</w:t>
            </w:r>
          </w:p>
        </w:tc>
        <w:tc>
          <w:tcPr>
            <w:tcW w:w="94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Share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capital</w:t>
            </w:r>
          </w:p>
        </w:tc>
        <w:tc>
          <w:tcPr>
            <w:tcW w:w="94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Share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premium</w:t>
            </w:r>
          </w:p>
        </w:tc>
        <w:tc>
          <w:tcPr>
            <w:tcW w:w="94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 January 2019</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591,723,390</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336</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397</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2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 December 2019</w:t>
            </w:r>
          </w:p>
        </w:tc>
        <w:tc>
          <w:tcPr>
            <w:tcW w:w="94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591,723,390</w:t>
            </w:r>
          </w:p>
        </w:tc>
        <w:tc>
          <w:tcPr>
            <w:tcW w:w="94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336</w:t>
            </w:r>
          </w:p>
        </w:tc>
        <w:tc>
          <w:tcPr>
            <w:tcW w:w="94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c>
          <w:tcPr>
            <w:tcW w:w="94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397</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2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 December 2020</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591,723,390</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336</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397</w:t>
            </w:r>
          </w:p>
        </w:tc>
      </w:tr>
    </w:tbl>
    <w:p w:rsidR="001730D9" w:rsidRPr="009F5FE3" w:rsidP="001730D9" w14:paraId="035CC034" w14:textId="77777777">
      <w:pPr>
        <w:pStyle w:val="Bodytext2"/>
      </w:pPr>
    </w:p>
    <w:p w:rsidR="001730D9" w:rsidRPr="009F5FE3" w:rsidP="001730D9" w14:paraId="1846317B" w14:textId="77777777">
      <w:pPr>
        <w:pStyle w:val="Bodytext2"/>
      </w:pPr>
      <w:r w:rsidRPr="009F5FE3">
        <w:t>Wärtsilä's share does not have a nominal value. Wärtsilä has one series of shares. Each share is assigned one vote in the Annual General Meeting and has an equal right to dividend.</w:t>
      </w:r>
    </w:p>
    <w:p w:rsidR="001730D9" w:rsidRPr="009F5FE3" w:rsidP="001730D9" w14:paraId="57E50410" w14:textId="77777777">
      <w:pPr>
        <w:pStyle w:val="Bodytext2"/>
      </w:pPr>
    </w:p>
    <w:p w:rsidR="001730D9" w:rsidRPr="009F5FE3" w:rsidP="001730D9" w14:paraId="07D9C57D" w14:textId="77777777">
      <w:pPr>
        <w:pStyle w:val="Heading13"/>
      </w:pPr>
      <w:r w:rsidRPr="009F5FE3">
        <w:t>Share Capital</w:t>
      </w:r>
    </w:p>
    <w:p w:rsidR="001730D9" w:rsidRPr="009F5FE3" w:rsidP="001730D9" w14:paraId="487A008F" w14:textId="77777777">
      <w:pPr>
        <w:pStyle w:val="Bodytext2"/>
      </w:pPr>
      <w:r w:rsidRPr="009F5FE3">
        <w:t>The subscription price of a sha</w:t>
      </w:r>
      <w:r w:rsidRPr="009F5FE3">
        <w:t>re received by the company in connection with share issues is credited to the share capital, unless it is provided in the share issue decision that a part of the subscription price is to be recorded in the fund for invested non-restricted equity.</w:t>
      </w:r>
    </w:p>
    <w:p w:rsidR="001730D9" w:rsidRPr="009F5FE3" w:rsidP="001730D9" w14:paraId="0B7457FA" w14:textId="77777777">
      <w:pPr>
        <w:pStyle w:val="Bodytext2"/>
      </w:pPr>
    </w:p>
    <w:p w:rsidR="001730D9" w:rsidRPr="009F5FE3" w:rsidP="001730D9" w14:paraId="095FC620" w14:textId="77777777">
      <w:pPr>
        <w:pStyle w:val="Heading13"/>
      </w:pPr>
      <w:r w:rsidRPr="009F5FE3">
        <w:t>Share Pr</w:t>
      </w:r>
      <w:r w:rsidRPr="009F5FE3">
        <w:t>emium</w:t>
      </w:r>
    </w:p>
    <w:p w:rsidR="001730D9" w:rsidRPr="009F5FE3" w:rsidP="001730D9" w14:paraId="3A4064DC" w14:textId="77777777">
      <w:pPr>
        <w:pStyle w:val="Bodytext2"/>
      </w:pPr>
      <w:r w:rsidRPr="009F5FE3">
        <w:t>Share premium is restricted equity. It may be reduced in accordance with the rules applying to decreasing share capital in accordance with the Finnish Limited Liability Companies Act. It can also be used to increase the share capital.</w:t>
      </w:r>
    </w:p>
    <w:p w:rsidR="001730D9" w:rsidRPr="009F5FE3" w:rsidP="001730D9" w14:paraId="536A1E58" w14:textId="77777777">
      <w:pPr>
        <w:pStyle w:val="Bodytext2"/>
      </w:pPr>
    </w:p>
    <w:p w:rsidR="001730D9" w:rsidRPr="009F5FE3" w:rsidP="001730D9" w14:paraId="291AE851" w14:textId="77777777">
      <w:pPr>
        <w:pStyle w:val="Heading13"/>
      </w:pPr>
      <w:r w:rsidRPr="009F5FE3">
        <w:t>Translation di</w:t>
      </w:r>
      <w:r w:rsidRPr="009F5FE3">
        <w:t>fferences</w:t>
      </w:r>
    </w:p>
    <w:p w:rsidR="001730D9" w:rsidRPr="009F5FE3" w:rsidP="001730D9" w14:paraId="084F36CF" w14:textId="0C9B804F">
      <w:pPr>
        <w:pStyle w:val="Bodytext2"/>
      </w:pPr>
      <w:r w:rsidRPr="009F5FE3">
        <w:t>Translating foreign subsidiaries' financial statements by using different exchange rates in the statement of comprehensive income and in the statement of financial position causes translation differences, which are recognised in equity. Translati</w:t>
      </w:r>
      <w:r w:rsidRPr="009F5FE3">
        <w:t>on differences of foreign subsidiaries’ acquisition cost eliminations and pos</w:t>
      </w:r>
      <w:r w:rsidRPr="009F5FE3" w:rsidR="00D1012D">
        <w:t xml:space="preserve">t- </w:t>
      </w:r>
      <w:r w:rsidRPr="009F5FE3">
        <w:t>acquisition gains and losses are also presented in equity. Also</w:t>
      </w:r>
      <w:r w:rsidRPr="009F5FE3" w:rsidR="00D1012D">
        <w:t>,</w:t>
      </w:r>
      <w:r w:rsidRPr="009F5FE3">
        <w:t xml:space="preserve"> translation differences arising from subsidiary net investment</w:t>
      </w:r>
      <w:r>
        <w:t>s</w:t>
      </w:r>
      <w:r w:rsidRPr="009F5FE3">
        <w:t xml:space="preserve"> and non-current subsidiary loan</w:t>
      </w:r>
      <w:r>
        <w:t>s</w:t>
      </w:r>
      <w:r w:rsidRPr="009F5FE3">
        <w:t xml:space="preserve"> without agreed</w:t>
      </w:r>
      <w:r w:rsidRPr="009F5FE3">
        <w:t xml:space="preserve"> </w:t>
      </w:r>
      <w:r w:rsidRPr="009F5FE3">
        <w:rPr>
          <w:lang w:val="en-GB"/>
        </w:rPr>
        <w:t>settlement</w:t>
      </w:r>
      <w:r w:rsidRPr="009F5FE3">
        <w:t xml:space="preserve"> dates are presented in equity. The change in translation differences is recognised </w:t>
      </w:r>
      <w:r>
        <w:t>in</w:t>
      </w:r>
      <w:r w:rsidRPr="009F5FE3">
        <w:t xml:space="preserve"> other comprehensive income.</w:t>
      </w:r>
    </w:p>
    <w:p w:rsidR="001730D9" w:rsidRPr="009F5FE3" w:rsidP="001730D9" w14:paraId="61F64C55" w14:textId="77777777">
      <w:pPr>
        <w:pStyle w:val="Bodytext2"/>
      </w:pPr>
    </w:p>
    <w:p w:rsidR="001730D9" w:rsidRPr="009F5FE3" w:rsidP="001730D9" w14:paraId="40DB4E5E" w14:textId="77777777">
      <w:pPr>
        <w:pStyle w:val="Heading13"/>
      </w:pPr>
      <w:r w:rsidRPr="009F5FE3">
        <w:t>Fair value reserve</w:t>
      </w:r>
    </w:p>
    <w:p w:rsidR="001730D9" w:rsidRPr="00974921" w:rsidP="001730D9" w14:paraId="385A3ECC" w14:textId="38D19B06">
      <w:pPr>
        <w:pStyle w:val="Bodytext2"/>
        <w:rPr>
          <w:sz w:val="2"/>
          <w:szCs w:val="2"/>
        </w:rPr>
      </w:pPr>
      <w:r w:rsidRPr="009F5FE3">
        <w:t>Fair value reserve includes the changes in fair value of derivative financial instruments, if the hedging is e</w:t>
      </w:r>
      <w:r w:rsidRPr="009F5FE3">
        <w:t>ffective and eligible for hedge accounting. The changes in items included in fair value reserve are recognised in other comprehensive income.</w:t>
      </w:r>
      <w:r>
        <w:br w:type="column"/>
      </w:r>
    </w:p>
    <w:p w:rsidR="00D1012D" w:rsidRPr="009F5FE3" w:rsidP="001730D9" w14:paraId="47D2497C" w14:textId="04EE35BB">
      <w:pPr>
        <w:pStyle w:val="Bodytext2"/>
      </w:pPr>
      <w:r w:rsidRPr="009F5FE3">
        <w:t xml:space="preserve">In 2020, EUR </w:t>
      </w:r>
      <w:r>
        <w:t>-</w:t>
      </w:r>
      <w:r w:rsidR="00552725">
        <w:t>4</w:t>
      </w:r>
      <w:r w:rsidRPr="009F5FE3">
        <w:t xml:space="preserve"> million (4) of fair value adjustments related to cash flow hedges w</w:t>
      </w:r>
      <w:r>
        <w:t>as</w:t>
      </w:r>
      <w:r w:rsidRPr="009F5FE3">
        <w:t xml:space="preserve"> recognised in equity. EUR </w:t>
      </w:r>
      <w:r w:rsidR="00552725">
        <w:t>6</w:t>
      </w:r>
      <w:r w:rsidRPr="009F5FE3">
        <w:t xml:space="preserve"> million (19) of the fair value adjustments w</w:t>
      </w:r>
      <w:r>
        <w:t>as</w:t>
      </w:r>
      <w:r w:rsidRPr="009F5FE3">
        <w:t xml:space="preserve"> transferred from equity to the statement of income as net sales or operating expenses during 2020.</w:t>
      </w:r>
    </w:p>
    <w:p w:rsidR="001730D9" w:rsidRPr="009F5FE3" w:rsidP="001730D9" w14:paraId="7927D8FE" w14:textId="77777777">
      <w:pPr>
        <w:pStyle w:val="Bodytext2"/>
      </w:pPr>
    </w:p>
    <w:tbl>
      <w:tblPr>
        <w:tblStyle w:val="TableNormal"/>
        <w:tblCaption w:val="table_55_FV_reserve"/>
        <w:tblW w:w="7305" w:type="dxa"/>
        <w:tblLayout w:type="fixed"/>
        <w:tblLook w:val="0600"/>
      </w:tblPr>
      <w:tblGrid>
        <w:gridCol w:w="3525"/>
        <w:gridCol w:w="945"/>
        <w:gridCol w:w="945"/>
        <w:gridCol w:w="945"/>
        <w:gridCol w:w="945"/>
      </w:tblGrid>
      <w:tr>
        <w:tblPrEx>
          <w:tblW w:w="7305" w:type="dxa"/>
          <w:tblLayout w:type="fixed"/>
          <w:tblLook w:val="0600"/>
        </w:tblPrEx>
        <w:trPr>
          <w:trHeight w:val="240"/>
        </w:trPr>
        <w:tc>
          <w:tcPr>
            <w:tcW w:w="35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hedges</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reserve on 1 January 2019</w:t>
            </w: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Taxes related to fair value adjustments</w:t>
            </w:r>
          </w:p>
        </w:tc>
        <w:tc>
          <w:tcPr>
            <w:tcW w:w="94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Fair value reserve on 1 January 2019</w:t>
            </w: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Transferred to the statement of income, net of taxes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adjustments</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Fair value reserve on 31 December 2019</w:t>
            </w:r>
          </w:p>
        </w:tc>
        <w:tc>
          <w:tcPr>
            <w:tcW w:w="945"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Transferred to the statement of income, net of taxes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Fair value adjustments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Taxes related to fair value adjustments</w:t>
            </w:r>
          </w:p>
        </w:tc>
        <w:tc>
          <w:tcPr>
            <w:tcW w:w="94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470"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Fair value reserve on 31 December 2020</w:t>
            </w:r>
          </w:p>
        </w:tc>
        <w:tc>
          <w:tcPr>
            <w:tcW w:w="94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r>
    </w:tbl>
    <w:p w:rsidR="001730D9" w:rsidRPr="009F5FE3" w:rsidP="001730D9" w14:paraId="45872E27" w14:textId="77777777">
      <w:pPr>
        <w:pStyle w:val="Bodytext2"/>
      </w:pPr>
    </w:p>
    <w:p w:rsidR="001730D9" w:rsidRPr="009F5FE3" w:rsidP="001730D9" w14:paraId="6E0259B1" w14:textId="77777777">
      <w:pPr>
        <w:pStyle w:val="Heading13"/>
      </w:pPr>
      <w:r w:rsidRPr="009F5FE3">
        <w:t>Parent company's distributable funds</w:t>
      </w:r>
    </w:p>
    <w:tbl>
      <w:tblPr>
        <w:tblStyle w:val="TableGrid0"/>
        <w:tblW w:w="7371" w:type="dxa"/>
        <w:tblInd w:w="5" w:type="dxa"/>
        <w:tblLook w:val="04A0"/>
      </w:tblPr>
      <w:tblGrid>
        <w:gridCol w:w="7371"/>
      </w:tblGrid>
      <w:tr w14:paraId="3933DCDB" w14:textId="77777777" w:rsidTr="001730D9">
        <w:tblPrEx>
          <w:tblW w:w="7371" w:type="dxa"/>
          <w:tblInd w:w="5" w:type="dxa"/>
          <w:tblLook w:val="04A0"/>
        </w:tblPrEx>
        <w:tc>
          <w:tcPr>
            <w:tcW w:w="7361" w:type="dxa"/>
            <w:shd w:val="clear" w:color="auto" w:fill="B6C8D1"/>
            <w:hideMark/>
          </w:tcPr>
          <w:p w:rsidR="001730D9" w:rsidRPr="009F5FE3" w:rsidP="001730D9" w14:paraId="6B37DF19" w14:textId="77777777">
            <w:pPr>
              <w:pStyle w:val="Heading13"/>
              <w:rPr>
                <w:color w:val="auto"/>
                <w:lang w:val="en-GB"/>
              </w:rPr>
            </w:pPr>
            <w:r w:rsidRPr="009F5FE3">
              <w:rPr>
                <w:lang w:val="en-GB"/>
              </w:rPr>
              <w:t>Accounting principles</w:t>
            </w:r>
          </w:p>
          <w:p w:rsidR="001730D9" w:rsidRPr="00D1012D" w:rsidP="001730D9" w14:paraId="5976AF67" w14:textId="77777777">
            <w:pPr>
              <w:pStyle w:val="Bodytext2"/>
              <w:rPr>
                <w:lang w:val="en-GB"/>
              </w:rPr>
            </w:pPr>
            <w:r w:rsidRPr="009F5FE3">
              <w:rPr>
                <w:lang w:val="en-GB"/>
              </w:rPr>
              <w:t xml:space="preserve">The dividend </w:t>
            </w:r>
            <w:r w:rsidRPr="009F5FE3">
              <w:rPr>
                <w:lang w:val="en-GB"/>
              </w:rPr>
              <w:t>proposed by the Board of Directors is deducted from distributable equity when approved by the company’s Annual General Meeting. Unpaid dividends are presented as liability in the consolidated financial statements.</w:t>
            </w:r>
          </w:p>
        </w:tc>
      </w:tr>
    </w:tbl>
    <w:p w:rsidR="001730D9" w:rsidP="001730D9" w14:paraId="15ACA09E" w14:textId="77777777">
      <w:pPr>
        <w:pStyle w:val="Bodytext2"/>
        <w:rPr>
          <w:b/>
          <w:bCs/>
          <w:lang w:eastAsia="fi-FI"/>
        </w:rPr>
      </w:pPr>
    </w:p>
    <w:p w:rsidR="001730D9" w:rsidP="001730D9" w14:paraId="1A9A85D2" w14:textId="35559E81">
      <w:pPr>
        <w:pStyle w:val="Bodytext2"/>
      </w:pPr>
      <w:r>
        <w:t xml:space="preserve">After the balance sheet date, the Board </w:t>
      </w:r>
      <w:r>
        <w:t>of Directors proposed that a dividend of EUR 0.20 per share be paid for the financial period 2020, the total dividend payable being EUR 118 million. The remaining part of the retained profits will be carried further in the unrestricted equity. For the prof</w:t>
      </w:r>
      <w:r>
        <w:t>it for the financial period 2019, a dividend of EUR 0.48 per share was distributed, totalling EUR 284 million, and the rest of the retained profits were carried further in the unrestricted equity.</w:t>
      </w:r>
    </w:p>
    <w:p w:rsidR="001730D9" w:rsidP="001730D9" w14:paraId="350C9A83" w14:textId="77777777">
      <w:pPr>
        <w:pStyle w:val="Bodytext2"/>
      </w:pPr>
    </w:p>
    <w:p w:rsidR="001730D9" w:rsidRPr="00035397" w:rsidP="001730D9" w14:paraId="066D5133" w14:textId="69C5E24C">
      <w:pPr>
        <w:pStyle w:val="Bodytext2"/>
        <w:rPr>
          <w:color w:val="auto"/>
          <w:sz w:val="2"/>
          <w:szCs w:val="2"/>
          <w:lang w:val="fi-FI"/>
        </w:rPr>
      </w:pPr>
      <w:r>
        <w:t xml:space="preserve">Additional information on equity is presented in </w:t>
      </w:r>
      <w:r>
        <w:t>Notes to the parent company financial statements, in Note 10. Shareholders' equity.</w:t>
      </w:r>
      <w:r>
        <w:br w:type="column"/>
      </w:r>
    </w:p>
    <w:p w:rsidR="000F5D1B" w:rsidP="000F5D1B" w14:paraId="7C136334" w14:textId="77777777">
      <w:pPr>
        <w:pStyle w:val="Heading12"/>
      </w:pPr>
      <w:bookmarkStart w:id="1183" w:name="RG_MARKER_4173"/>
      <w:r>
        <w:t>5.6. MATURITY ANALYSIS OF FINANCIAL LIABILITIES</w:t>
      </w:r>
      <w:bookmarkEnd w:id="1183"/>
    </w:p>
    <w:p w:rsidR="000F5D1B" w:rsidP="000F5D1B" w14:paraId="0ED1B1C3" w14:textId="77777777">
      <w:pPr>
        <w:pStyle w:val="Bodytext2"/>
      </w:pPr>
    </w:p>
    <w:p w:rsidR="000F5D1B" w:rsidRPr="000F5D1B" w:rsidP="000F5D1B" w14:paraId="1D9D40A9" w14:textId="77777777">
      <w:pPr>
        <w:pStyle w:val="Heading13"/>
      </w:pPr>
      <w:r w:rsidRPr="000F5D1B">
        <w:t>2020</w:t>
      </w:r>
    </w:p>
    <w:tbl>
      <w:tblPr>
        <w:tblStyle w:val="TableNormal"/>
        <w:tblCaption w:val="table_56_cur"/>
        <w:tblW w:w="7290" w:type="dxa"/>
        <w:tblLayout w:type="fixed"/>
        <w:tblLook w:val="0600"/>
      </w:tblPr>
      <w:tblGrid>
        <w:gridCol w:w="2565"/>
        <w:gridCol w:w="945"/>
        <w:gridCol w:w="945"/>
        <w:gridCol w:w="945"/>
        <w:gridCol w:w="945"/>
        <w:gridCol w:w="945"/>
      </w:tblGrid>
      <w:tr>
        <w:tblPrEx>
          <w:tblW w:w="7290" w:type="dxa"/>
          <w:tblLayout w:type="fixed"/>
          <w:tblLook w:val="0600"/>
        </w:tblPrEx>
        <w:trPr>
          <w:trHeight w:val="240"/>
        </w:trPr>
        <w:tc>
          <w:tcPr>
            <w:tcW w:w="256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nil"/>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945" w:type="dxa"/>
            <w:tcBorders>
              <w:top w:val="nil"/>
              <w:left w:val="nil"/>
              <w:bottom w:val="nil"/>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tc>
        <w:tc>
          <w:tcPr>
            <w:tcW w:w="945" w:type="dxa"/>
            <w:tcBorders>
              <w:top w:val="nil"/>
              <w:left w:val="nil"/>
              <w:bottom w:val="nil"/>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nil"/>
              <w:left w:val="nil"/>
              <w:bottom w:val="nil"/>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nil"/>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&lt; 1 year</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 years</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 years</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&gt; 5 years</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Loans from other financial institutions*</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155</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481</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232</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292</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1,160</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 liabilities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59</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190</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interest-bearing debt*</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BEBEB"/>
                <w:sz w:val="13"/>
                <w:u w:val="none"/>
                <w:vertAlign w:val="baseline"/>
              </w:rPr>
            </w:pPr>
            <w:r>
              <w:rPr>
                <w:rFonts w:ascii="Arial" w:eastAsia="Arial" w:hAnsi="Arial" w:cs="Arial"/>
                <w:b/>
                <w:i w:val="0"/>
                <w:strike w:val="0"/>
                <w:color w:val="EBEBEB"/>
                <w:sz w:val="13"/>
                <w:u w:val="none"/>
                <w:vertAlign w:val="baseline"/>
              </w:rPr>
              <w:t>0</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411</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411</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liabilities</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629</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545</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270</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350</w:t>
            </w: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1,794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Estimated interest expenses, total</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Estimated contractual cash flows</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637</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557</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276</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353</w:t>
            </w:r>
          </w:p>
        </w:tc>
        <w:tc>
          <w:tcPr>
            <w:tcW w:w="9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1,822</w:t>
            </w:r>
          </w:p>
        </w:tc>
      </w:tr>
    </w:tbl>
    <w:p w:rsidR="000F5D1B" w:rsidRPr="000F5D1B" w:rsidP="000F5D1B" w14:paraId="0C00560F" w14:textId="77777777">
      <w:pPr>
        <w:pStyle w:val="Bodytext2"/>
      </w:pPr>
    </w:p>
    <w:p w:rsidR="000F5D1B" w:rsidRPr="000F5D1B" w:rsidP="000F5D1B" w14:paraId="03F222FE" w14:textId="77777777">
      <w:pPr>
        <w:pStyle w:val="Heading13"/>
      </w:pPr>
      <w:r w:rsidRPr="000F5D1B">
        <w:t>2019</w:t>
      </w:r>
    </w:p>
    <w:tbl>
      <w:tblPr>
        <w:tblStyle w:val="TableNormal"/>
        <w:tblCaption w:val="table_56_pre"/>
        <w:tblW w:w="7290" w:type="dxa"/>
        <w:tblLayout w:type="fixed"/>
        <w:tblLook w:val="0600"/>
      </w:tblPr>
      <w:tblGrid>
        <w:gridCol w:w="2565"/>
        <w:gridCol w:w="945"/>
        <w:gridCol w:w="945"/>
        <w:gridCol w:w="945"/>
        <w:gridCol w:w="945"/>
        <w:gridCol w:w="945"/>
      </w:tblGrid>
      <w:tr>
        <w:tblPrEx>
          <w:tblW w:w="7290" w:type="dxa"/>
          <w:tblLayout w:type="fixed"/>
          <w:tblLook w:val="0600"/>
        </w:tblPrEx>
        <w:trPr>
          <w:trHeight w:val="240"/>
        </w:trPr>
        <w:tc>
          <w:tcPr>
            <w:tcW w:w="256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945" w:type="dxa"/>
            <w:tcBorders>
              <w:top w:val="nil"/>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tc>
        <w:tc>
          <w:tcPr>
            <w:tcW w:w="94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&lt; 1 year</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 years</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 years</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&gt; 5 years</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Loans from other financial institutions*</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263</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258</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328</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906</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 liabilities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65</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64</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215</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interest-bearing debt*</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624</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624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liabilities</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741</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339</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301</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392</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1,774</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Estimated interest expenses, total</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r>
      <w:tr>
        <w:tblPrEx>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Estimated contractual cash flows</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748</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351</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309</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395</w:t>
            </w:r>
          </w:p>
        </w:tc>
        <w:tc>
          <w:tcPr>
            <w:tcW w:w="9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1,804</w:t>
            </w:r>
          </w:p>
        </w:tc>
      </w:tr>
    </w:tbl>
    <w:p w:rsidR="000F5D1B" w:rsidRPr="000F5D1B" w:rsidP="000F5D1B" w14:paraId="2A061297" w14:textId="77777777">
      <w:pPr>
        <w:pStyle w:val="Bodytext2"/>
      </w:pPr>
    </w:p>
    <w:p w:rsidR="000F5D1B" w:rsidRPr="000F5D1B" w:rsidP="000F5D1B" w14:paraId="4604006C" w14:textId="45405A7C">
      <w:pPr>
        <w:pStyle w:val="Bodytext2"/>
      </w:pPr>
      <w:r w:rsidRPr="000F5D1B">
        <w:t>** Valuation for derivatives with negative market value by maturity date. Nominal contractual amounts are presented in Note 5.7.</w:t>
      </w:r>
      <w:r>
        <w:t xml:space="preserve"> </w:t>
      </w:r>
      <w:r w:rsidRPr="000F5D1B">
        <w:t>Derivative</w:t>
      </w:r>
      <w:r w:rsidRPr="000F5D1B">
        <w:t xml:space="preserve"> financial instruments.</w:t>
      </w:r>
    </w:p>
    <w:p w:rsidR="000F5D1B" w:rsidRPr="000F5D1B" w:rsidP="000F5D1B" w14:paraId="229119B6" w14:textId="77777777">
      <w:pPr>
        <w:pStyle w:val="Bodytext2"/>
      </w:pPr>
    </w:p>
    <w:p w:rsidR="00993588" w:rsidP="000F5D1B" w14:paraId="17172969" w14:textId="5F6581CB">
      <w:pPr>
        <w:pStyle w:val="Bodytext2"/>
      </w:pPr>
      <w:r w:rsidRPr="000F5D1B">
        <w:t>Interest expenses for long-term loans are calculated by using the average interest rate prevailing on 31 December 2020.</w:t>
      </w:r>
    </w:p>
    <w:p w:rsidR="00993588" w:rsidP="000F5D1B" w14:paraId="0104EB4E" w14:textId="77777777">
      <w:pPr>
        <w:pStyle w:val="Bodytext2"/>
      </w:pPr>
    </w:p>
    <w:p w:rsidR="000F5D1B" w:rsidRPr="000F5D1B" w:rsidP="000F5D1B" w14:paraId="7C405177" w14:textId="160BD7E1">
      <w:pPr>
        <w:pStyle w:val="Bodytext2"/>
      </w:pPr>
      <w:r w:rsidRPr="000F5D1B">
        <w:t>Fair values of financial liabilities are presented in Note 5.2. Financial assets and liabilities by measurement</w:t>
      </w:r>
      <w:r w:rsidRPr="000F5D1B">
        <w:t xml:space="preserve"> category</w:t>
      </w:r>
      <w:r>
        <w:t xml:space="preserve">. </w:t>
      </w:r>
      <w:r w:rsidRPr="000F5D1B">
        <w:t>Information on measurement categories of financial liabilities in Note 5.2. Financial assets and liabilities by measurement category.</w:t>
      </w:r>
    </w:p>
    <w:p/>
    <w:p w:rsidR="00117709" w:rsidP="00117709" w14:paraId="695141EA" w14:textId="77777777">
      <w:pPr>
        <w:pStyle w:val="Heading12"/>
      </w:pPr>
      <w:bookmarkStart w:id="1184" w:name="RG_MARKER_4174"/>
      <w:r>
        <w:t>5.7. DERIVATIVE FINANCIAL INSTRUMENTS</w:t>
      </w:r>
      <w:bookmarkEnd w:id="1184"/>
    </w:p>
    <w:tbl>
      <w:tblPr>
        <w:tblStyle w:val="TableGrid"/>
        <w:tblW w:w="7371" w:type="dxa"/>
        <w:tblLook w:val="04A0"/>
      </w:tblPr>
      <w:tblGrid>
        <w:gridCol w:w="7371"/>
      </w:tblGrid>
      <w:tr w14:paraId="6F0397FE" w14:textId="77777777" w:rsidTr="00117709">
        <w:tblPrEx>
          <w:tblW w:w="7371" w:type="dxa"/>
          <w:tblLook w:val="04A0"/>
        </w:tblPrEx>
        <w:tc>
          <w:tcPr>
            <w:tcW w:w="7371" w:type="dxa"/>
            <w:tcBorders>
              <w:top w:val="nil"/>
              <w:left w:val="nil"/>
              <w:bottom w:val="nil"/>
              <w:right w:val="nil"/>
            </w:tcBorders>
            <w:shd w:val="clear" w:color="auto" w:fill="B6C8D1"/>
          </w:tcPr>
          <w:p w:rsidR="00117709" w:rsidRPr="007C60CF" w:rsidP="00117709" w14:paraId="6D5A8CA4" w14:textId="77777777">
            <w:pPr>
              <w:pStyle w:val="Heading13"/>
              <w:rPr>
                <w:lang w:val="en-GB"/>
              </w:rPr>
            </w:pPr>
            <w:r w:rsidRPr="007C60CF">
              <w:rPr>
                <w:lang w:val="en-GB"/>
              </w:rPr>
              <w:t>Accounting principles</w:t>
            </w:r>
          </w:p>
          <w:p w:rsidR="00117709" w:rsidRPr="007C60CF" w:rsidP="00117709" w14:paraId="45D2593A" w14:textId="77777777">
            <w:pPr>
              <w:pStyle w:val="Heading13"/>
              <w:rPr>
                <w:color w:val="0F172B"/>
                <w:lang w:val="en-GB"/>
              </w:rPr>
            </w:pPr>
            <w:r w:rsidRPr="007C60CF">
              <w:rPr>
                <w:color w:val="0F172B"/>
                <w:lang w:val="en-GB"/>
              </w:rPr>
              <w:t>Derivatives and hedge accounting</w:t>
            </w:r>
          </w:p>
          <w:p w:rsidR="00117709" w:rsidRPr="007C60CF" w:rsidP="00117709" w14:paraId="31B5E468" w14:textId="70281850">
            <w:pPr>
              <w:pStyle w:val="Bodytext2"/>
              <w:rPr>
                <w:color w:val="0F172B"/>
                <w:lang w:val="en-GB"/>
              </w:rPr>
            </w:pPr>
            <w:r w:rsidRPr="007C60CF">
              <w:rPr>
                <w:color w:val="0F172B"/>
                <w:lang w:val="en-GB"/>
              </w:rPr>
              <w:t>Derivatives are initially recognised on the statement of financial position</w:t>
            </w:r>
            <w:r w:rsidRPr="007C60CF">
              <w:rPr>
                <w:color w:val="FF0000"/>
                <w:lang w:val="en-GB"/>
              </w:rPr>
              <w:t xml:space="preserve"> </w:t>
            </w:r>
            <w:r w:rsidRPr="007C60CF">
              <w:rPr>
                <w:color w:val="0F172B"/>
                <w:lang w:val="en-GB"/>
              </w:rPr>
              <w:t xml:space="preserve">at fair value and </w:t>
            </w:r>
            <w:r>
              <w:rPr>
                <w:color w:val="0F172B"/>
                <w:lang w:val="en-GB"/>
              </w:rPr>
              <w:t xml:space="preserve">are </w:t>
            </w:r>
            <w:r w:rsidRPr="007C60CF">
              <w:rPr>
                <w:color w:val="0F172B"/>
                <w:lang w:val="en-GB"/>
              </w:rPr>
              <w:t xml:space="preserve">subsequently classified and measured at their fair value at </w:t>
            </w:r>
            <w:r w:rsidRPr="007C60CF">
              <w:rPr>
                <w:color w:val="0F172B"/>
                <w:lang w:val="en-GB"/>
              </w:rPr>
              <w:t>the end of each reporting period. Gains and losses from the fair value measurement are recognised in the statement of income as determined by the purpose of the derivatives.</w:t>
            </w:r>
          </w:p>
          <w:p w:rsidR="00117709" w:rsidRPr="007C60CF" w:rsidP="00117709" w14:paraId="2A08378F" w14:textId="77777777">
            <w:pPr>
              <w:pStyle w:val="Bodytext2"/>
              <w:rPr>
                <w:color w:val="0F172B"/>
                <w:lang w:val="en-GB"/>
              </w:rPr>
            </w:pPr>
          </w:p>
          <w:p w:rsidR="00117709" w:rsidRPr="007C60CF" w:rsidP="00117709" w14:paraId="18483142" w14:textId="3C90F671">
            <w:pPr>
              <w:pStyle w:val="Heading13"/>
              <w:rPr>
                <w:lang w:val="en-GB"/>
              </w:rPr>
            </w:pPr>
            <w:r w:rsidRPr="007C60CF">
              <w:rPr>
                <w:lang w:val="en-GB"/>
              </w:rPr>
              <w:t>Hedge accounting</w:t>
            </w:r>
          </w:p>
          <w:p w:rsidR="00106F25" w:rsidRPr="007C60CF" w:rsidP="00117709" w14:paraId="7F357316" w14:textId="2B7B85CC">
            <w:pPr>
              <w:pStyle w:val="Bodytext2"/>
              <w:rPr>
                <w:color w:val="0F172B"/>
                <w:lang w:val="en-GB"/>
              </w:rPr>
            </w:pPr>
            <w:r w:rsidRPr="007C60CF">
              <w:rPr>
                <w:color w:val="0F172B"/>
                <w:lang w:val="en-GB"/>
              </w:rPr>
              <w:t>Wärtsilä hedges its sales and purchases in foreign currencies wi</w:t>
            </w:r>
            <w:r w:rsidRPr="007C60CF">
              <w:rPr>
                <w:color w:val="0F172B"/>
                <w:lang w:val="en-GB"/>
              </w:rPr>
              <w:t>th foreign exchange forwards or currency options, and Wärtsilä applies hedge accounting according to IFRS 9 to the majority of these foreign exchange forwards. Forward points are excluded from the hedge relationship, and in case of a hedge being fully or p</w:t>
            </w:r>
            <w:r w:rsidRPr="007C60CF">
              <w:rPr>
                <w:color w:val="0F172B"/>
                <w:lang w:val="en-GB"/>
              </w:rPr>
              <w:t xml:space="preserve">artially ineffective, the ineffective portion is immediately recognised in the financial items for the </w:t>
            </w:r>
            <w:r>
              <w:rPr>
                <w:color w:val="0F172B"/>
                <w:lang w:val="en-GB"/>
              </w:rPr>
              <w:t>reporting</w:t>
            </w:r>
            <w:r w:rsidRPr="007C60CF">
              <w:rPr>
                <w:color w:val="0F172B"/>
                <w:lang w:val="en-GB"/>
              </w:rPr>
              <w:t xml:space="preserve"> period. Wärtsilä may </w:t>
            </w:r>
            <w:r>
              <w:rPr>
                <w:color w:val="0F172B"/>
                <w:lang w:val="en-GB"/>
              </w:rPr>
              <w:t xml:space="preserve">also </w:t>
            </w:r>
            <w:r w:rsidRPr="007C60CF">
              <w:rPr>
                <w:color w:val="0F172B"/>
                <w:lang w:val="en-GB"/>
              </w:rPr>
              <w:t xml:space="preserve">apply cash flow hedging </w:t>
            </w:r>
            <w:r>
              <w:rPr>
                <w:color w:val="0F172B"/>
                <w:lang w:val="en-GB"/>
              </w:rPr>
              <w:t>to</w:t>
            </w:r>
            <w:r w:rsidRPr="007C60CF">
              <w:rPr>
                <w:color w:val="0F172B"/>
                <w:lang w:val="en-GB"/>
              </w:rPr>
              <w:t xml:space="preserve"> some of its interest rate derivatives.</w:t>
            </w:r>
          </w:p>
          <w:p w:rsidR="00C7724D" w:rsidRPr="007C60CF" w:rsidP="00117709" w14:paraId="62BC5DA6" w14:textId="77777777">
            <w:pPr>
              <w:pStyle w:val="Bodytext2"/>
              <w:rPr>
                <w:color w:val="0F172B"/>
                <w:lang w:val="en-GB"/>
              </w:rPr>
            </w:pPr>
          </w:p>
          <w:p w:rsidR="00117709" w:rsidRPr="007C60CF" w:rsidP="00106F25" w14:paraId="24966F52" w14:textId="1F174B02">
            <w:pPr>
              <w:pStyle w:val="Bodytext2"/>
              <w:rPr>
                <w:lang w:val="en-GB"/>
              </w:rPr>
            </w:pPr>
            <w:r w:rsidRPr="007C60CF">
              <w:rPr>
                <w:lang w:val="en-GB"/>
              </w:rPr>
              <w:t xml:space="preserve">The Group documents the relationship between each </w:t>
            </w:r>
            <w:r w:rsidRPr="007C60CF">
              <w:rPr>
                <w:lang w:val="en-GB"/>
              </w:rPr>
              <w:t xml:space="preserve">hedging instrument and the hedged </w:t>
            </w:r>
            <w:r w:rsidRPr="007C60CF" w:rsidR="00A44DD8">
              <w:rPr>
                <w:lang w:val="en-GB"/>
              </w:rPr>
              <w:t>item</w:t>
            </w:r>
            <w:r w:rsidRPr="007C60CF">
              <w:rPr>
                <w:lang w:val="en-GB"/>
              </w:rPr>
              <w:t xml:space="preserve"> upon </w:t>
            </w:r>
            <w:r w:rsidRPr="007C60CF">
              <w:rPr>
                <w:lang w:val="en-GB"/>
              </w:rPr>
              <w:t>entering into</w:t>
            </w:r>
            <w:r w:rsidRPr="007C60CF">
              <w:rPr>
                <w:lang w:val="en-GB"/>
              </w:rPr>
              <w:t xml:space="preserve"> a hedging arrangement, along with the risk management objective and the strategy applied. Through this process, the hedging instrument is linked to the relevant assets and liabilities, projected bus</w:t>
            </w:r>
            <w:r w:rsidRPr="007C60CF">
              <w:rPr>
                <w:lang w:val="en-GB"/>
              </w:rPr>
              <w:t>iness transactions</w:t>
            </w:r>
            <w:r>
              <w:rPr>
                <w:lang w:val="en-GB"/>
              </w:rPr>
              <w:t>,</w:t>
            </w:r>
            <w:r w:rsidRPr="007C60CF">
              <w:rPr>
                <w:lang w:val="en-GB"/>
              </w:rPr>
              <w:t xml:space="preserve"> or binding contracts.</w:t>
            </w:r>
          </w:p>
          <w:p w:rsidR="00117709" w:rsidRPr="007C60CF" w:rsidP="00117709" w14:paraId="256D3F45" w14:textId="77777777">
            <w:pPr>
              <w:pStyle w:val="Bodytext2"/>
              <w:rPr>
                <w:color w:val="0F172B"/>
                <w:lang w:val="en-GB"/>
              </w:rPr>
            </w:pPr>
          </w:p>
          <w:p w:rsidR="00117709" w:rsidRPr="007C60CF" w:rsidP="00117709" w14:paraId="6B20F9E7" w14:textId="34BCABAB">
            <w:pPr>
              <w:pStyle w:val="Bodytext2"/>
              <w:rPr>
                <w:color w:val="0F172B"/>
                <w:lang w:val="en-GB"/>
              </w:rPr>
            </w:pPr>
            <w:r w:rsidRPr="007C60CF">
              <w:rPr>
                <w:color w:val="0F172B"/>
                <w:lang w:val="en-GB"/>
              </w:rPr>
              <w:t>Wärtsilä designates its hedge relationships of foreign exchange hedges as either hedges of highly probable forecast transactions or firm commitments.</w:t>
            </w:r>
          </w:p>
          <w:p w:rsidR="00117709" w:rsidRPr="007C60CF" w:rsidP="00117709" w14:paraId="6B2009D4" w14:textId="77777777">
            <w:pPr>
              <w:pStyle w:val="Bodytext2"/>
              <w:rPr>
                <w:color w:val="0F172B"/>
                <w:lang w:val="en-GB"/>
              </w:rPr>
            </w:pPr>
          </w:p>
          <w:p w:rsidR="00117709" w:rsidRPr="007C60CF" w:rsidP="00117709" w14:paraId="4725EE0B" w14:textId="2542B87E">
            <w:pPr>
              <w:pStyle w:val="Bodytext2"/>
              <w:rPr>
                <w:color w:val="0F172B"/>
                <w:lang w:val="en-GB"/>
              </w:rPr>
            </w:pPr>
            <w:r w:rsidRPr="007C60CF">
              <w:rPr>
                <w:color w:val="0F172B"/>
                <w:lang w:val="en-GB"/>
              </w:rPr>
              <w:t>The Group uses a hedge designation for foreign exchange</w:t>
            </w:r>
            <w:r w:rsidRPr="007C60CF">
              <w:rPr>
                <w:color w:val="FF0000"/>
                <w:lang w:val="en-GB"/>
              </w:rPr>
              <w:t xml:space="preserve"> </w:t>
            </w:r>
            <w:r w:rsidRPr="007C60CF">
              <w:rPr>
                <w:color w:val="0F172B"/>
                <w:lang w:val="en-GB"/>
              </w:rPr>
              <w:t>hedgin</w:t>
            </w:r>
            <w:r w:rsidRPr="007C60CF">
              <w:rPr>
                <w:color w:val="0F172B"/>
                <w:lang w:val="en-GB"/>
              </w:rPr>
              <w:t>g, where critical terms match or are closely aligned between the hedging instrument and the hedged item. The hedge ratio is typically 100%. Since underlying risks match, hedging instruments are considered to offset any changes related to the hedged transac</w:t>
            </w:r>
            <w:r w:rsidRPr="007C60CF">
              <w:rPr>
                <w:color w:val="0F172B"/>
                <w:lang w:val="en-GB"/>
              </w:rPr>
              <w:t xml:space="preserve">tions. Wärtsilä recognises that potential sources of ineffectiveness arise when hedged transactions are delayed or cancelled. However, Wärtsilä applies </w:t>
            </w:r>
            <w:r>
              <w:rPr>
                <w:color w:val="0F172B"/>
                <w:lang w:val="en-GB"/>
              </w:rPr>
              <w:t xml:space="preserve">a </w:t>
            </w:r>
            <w:r w:rsidRPr="007C60CF">
              <w:rPr>
                <w:color w:val="0F172B"/>
                <w:lang w:val="en-GB"/>
              </w:rPr>
              <w:t>roll-forward strategy where derivatives are roll-forwarded or terminated</w:t>
            </w:r>
            <w:r w:rsidRPr="007C60CF" w:rsidR="00A44DD8">
              <w:rPr>
                <w:color w:val="0F172B"/>
                <w:lang w:val="en-GB"/>
              </w:rPr>
              <w:t xml:space="preserve"> early</w:t>
            </w:r>
            <w:r w:rsidRPr="007C60CF">
              <w:rPr>
                <w:color w:val="0F172B"/>
                <w:lang w:val="en-GB"/>
              </w:rPr>
              <w:t xml:space="preserve"> to match these underlyi</w:t>
            </w:r>
            <w:r w:rsidRPr="007C60CF">
              <w:rPr>
                <w:color w:val="0F172B"/>
                <w:lang w:val="en-GB"/>
              </w:rPr>
              <w:t>ng transactions. Hedge effectiveness requirements are assessed in accordance with IFRS 9 requirements</w:t>
            </w:r>
            <w:r>
              <w:rPr>
                <w:color w:val="0F172B"/>
                <w:lang w:val="en-GB"/>
              </w:rPr>
              <w:t>,</w:t>
            </w:r>
            <w:r w:rsidRPr="007C60CF">
              <w:rPr>
                <w:color w:val="0F172B"/>
                <w:lang w:val="en-GB"/>
              </w:rPr>
              <w:t xml:space="preserve"> including requirements for economic relationship, credit risk and hedge ratio.</w:t>
            </w:r>
          </w:p>
          <w:p w:rsidR="00A44DD8" w:rsidRPr="007C60CF" w:rsidP="00117709" w14:paraId="13AF60A9" w14:textId="77777777">
            <w:pPr>
              <w:pStyle w:val="Bodytext2"/>
              <w:rPr>
                <w:color w:val="0F172B"/>
                <w:lang w:val="en-GB"/>
              </w:rPr>
            </w:pPr>
          </w:p>
          <w:p w:rsidR="00117709" w:rsidRPr="007C60CF" w:rsidP="00117709" w14:paraId="089D43D4" w14:textId="409BC157">
            <w:pPr>
              <w:pStyle w:val="Bodytext2"/>
              <w:rPr>
                <w:color w:val="0F172B"/>
                <w:lang w:val="en-GB"/>
              </w:rPr>
            </w:pPr>
            <w:r w:rsidRPr="007C60CF">
              <w:rPr>
                <w:color w:val="0F172B"/>
                <w:lang w:val="en-GB"/>
              </w:rPr>
              <w:t>External hedges are typically made for short maturities (up to 1 year) an</w:t>
            </w:r>
            <w:r w:rsidRPr="007C60CF">
              <w:rPr>
                <w:color w:val="0F172B"/>
                <w:lang w:val="en-GB"/>
              </w:rPr>
              <w:t>d only high credit quality (A- minimum rating requirement) counterparties are utilised</w:t>
            </w:r>
            <w:r>
              <w:rPr>
                <w:color w:val="0F172B"/>
                <w:lang w:val="en-GB"/>
              </w:rPr>
              <w:t>. C</w:t>
            </w:r>
            <w:r w:rsidRPr="007C60CF">
              <w:rPr>
                <w:color w:val="0F172B"/>
                <w:lang w:val="en-GB"/>
              </w:rPr>
              <w:t xml:space="preserve">ounterparty credit risk is expected to have minimal effect on hedge valuations. Due to some underlying hedged cash flows having longer maturities than related hedges, </w:t>
            </w:r>
            <w:r w:rsidRPr="007C60CF">
              <w:rPr>
                <w:color w:val="0F172B"/>
                <w:lang w:val="en-GB"/>
              </w:rPr>
              <w:t>the change</w:t>
            </w:r>
            <w:r>
              <w:rPr>
                <w:color w:val="0F172B"/>
                <w:lang w:val="en-GB"/>
              </w:rPr>
              <w:t>s</w:t>
            </w:r>
            <w:r w:rsidRPr="007C60CF">
              <w:rPr>
                <w:color w:val="0F172B"/>
                <w:lang w:val="en-GB"/>
              </w:rPr>
              <w:t xml:space="preserve"> in present value of the hedge and </w:t>
            </w:r>
            <w:r>
              <w:rPr>
                <w:color w:val="0F172B"/>
                <w:lang w:val="en-GB"/>
              </w:rPr>
              <w:t xml:space="preserve">the </w:t>
            </w:r>
            <w:r w:rsidRPr="007C60CF">
              <w:rPr>
                <w:color w:val="0F172B"/>
                <w:lang w:val="en-GB"/>
              </w:rPr>
              <w:t xml:space="preserve">underlying cash flow do not always fully offset each other during the lifetime of a hedge. This ineffectiveness is calculated on </w:t>
            </w:r>
            <w:r w:rsidRPr="007C60CF" w:rsidR="00A44DD8">
              <w:rPr>
                <w:color w:val="0F172B"/>
                <w:lang w:val="en-GB"/>
              </w:rPr>
              <w:t xml:space="preserve">a </w:t>
            </w:r>
            <w:r w:rsidRPr="007C60CF">
              <w:rPr>
                <w:color w:val="0F172B"/>
                <w:lang w:val="en-GB"/>
              </w:rPr>
              <w:t xml:space="preserve">quarterly basis and booked </w:t>
            </w:r>
            <w:r w:rsidRPr="007C60CF" w:rsidR="00A44DD8">
              <w:rPr>
                <w:color w:val="0F172B"/>
                <w:lang w:val="en-GB"/>
              </w:rPr>
              <w:t xml:space="preserve">in financial items </w:t>
            </w:r>
            <w:r>
              <w:rPr>
                <w:color w:val="0F172B"/>
                <w:lang w:val="en-GB"/>
              </w:rPr>
              <w:t>at</w:t>
            </w:r>
            <w:r w:rsidRPr="007C60CF">
              <w:rPr>
                <w:color w:val="0F172B"/>
                <w:lang w:val="en-GB"/>
              </w:rPr>
              <w:t xml:space="preserve"> Group level.</w:t>
            </w:r>
          </w:p>
          <w:p w:rsidR="00117709" w:rsidRPr="007C60CF" w:rsidP="00117709" w14:paraId="143FCC59" w14:textId="77777777">
            <w:pPr>
              <w:pStyle w:val="Bodytext2"/>
              <w:rPr>
                <w:color w:val="0F172B"/>
                <w:lang w:val="en-GB"/>
              </w:rPr>
            </w:pPr>
          </w:p>
          <w:p w:rsidR="00117709" w:rsidRPr="007C60CF" w:rsidP="00117709" w14:paraId="6E8F2BE0" w14:textId="77777777">
            <w:pPr>
              <w:pStyle w:val="Heading13"/>
              <w:rPr>
                <w:lang w:val="en-GB"/>
              </w:rPr>
            </w:pPr>
            <w:r w:rsidRPr="007C60CF">
              <w:rPr>
                <w:lang w:val="en-GB"/>
              </w:rPr>
              <w:t>Cash flow hedge</w:t>
            </w:r>
          </w:p>
          <w:p w:rsidR="00117709" w:rsidRPr="007C60CF" w:rsidP="00117709" w14:paraId="3D47F0F0" w14:textId="002C5BFB">
            <w:pPr>
              <w:pStyle w:val="Bodytext2"/>
              <w:rPr>
                <w:color w:val="auto"/>
                <w:lang w:val="en-GB"/>
              </w:rPr>
            </w:pPr>
            <w:r w:rsidRPr="007C60CF">
              <w:rPr>
                <w:lang w:val="en-GB"/>
              </w:rPr>
              <w:t>Changes in the fair value of derivative contra</w:t>
            </w:r>
            <w:r w:rsidRPr="007C60CF">
              <w:rPr>
                <w:lang w:val="en-GB"/>
              </w:rPr>
              <w:t xml:space="preserve">cts designated </w:t>
            </w:r>
            <w:r w:rsidRPr="007C60CF" w:rsidR="00A44DD8">
              <w:rPr>
                <w:lang w:val="en-GB"/>
              </w:rPr>
              <w:t xml:space="preserve">and qualifying as </w:t>
            </w:r>
            <w:r w:rsidRPr="007C60CF">
              <w:rPr>
                <w:lang w:val="en-GB"/>
              </w:rPr>
              <w:t>cash flow</w:t>
            </w:r>
            <w:r w:rsidRPr="007C60CF" w:rsidR="00A44DD8">
              <w:rPr>
                <w:lang w:val="en-GB"/>
              </w:rPr>
              <w:t xml:space="preserve"> hedges</w:t>
            </w:r>
            <w:r w:rsidRPr="007C60CF">
              <w:rPr>
                <w:lang w:val="en-GB"/>
              </w:rPr>
              <w:t xml:space="preserve"> are recognised in other comprehensive income and presented in the fair value reserve in equity, provided that the hedging is effective. </w:t>
            </w:r>
            <w:r w:rsidRPr="007C60CF" w:rsidR="00A44DD8">
              <w:rPr>
                <w:color w:val="0F172B"/>
                <w:lang w:val="en-GB"/>
              </w:rPr>
              <w:t xml:space="preserve">In </w:t>
            </w:r>
            <w:r>
              <w:rPr>
                <w:color w:val="0F172B"/>
                <w:lang w:val="en-GB"/>
              </w:rPr>
              <w:t xml:space="preserve">the </w:t>
            </w:r>
            <w:r w:rsidRPr="007C60CF" w:rsidR="00A44DD8">
              <w:rPr>
                <w:color w:val="0F172B"/>
                <w:lang w:val="en-GB"/>
              </w:rPr>
              <w:t xml:space="preserve">case of foreign exchange forwards, the spot element is included for the hedging relationship where forward points have been excluded from the hedge designation. </w:t>
            </w:r>
            <w:r w:rsidRPr="007C60CF">
              <w:rPr>
                <w:lang w:val="en-GB"/>
              </w:rPr>
              <w:t>Any gain or loss in the fair value reserve related to derivatives accumulated through other comprehensive income is reported in the statement of income in the</w:t>
            </w:r>
            <w:r w:rsidRPr="007C60CF">
              <w:rPr>
                <w:lang w:val="en-GB"/>
              </w:rPr>
              <w:t xml:space="preserve"> same period as any transactions relating to the hedged obligations or estimates,</w:t>
            </w:r>
            <w:r w:rsidRPr="007C60CF" w:rsidR="00A44DD8">
              <w:rPr>
                <w:lang w:val="en-GB"/>
              </w:rPr>
              <w:t xml:space="preserve"> for example</w:t>
            </w:r>
            <w:r w:rsidRPr="007C60CF">
              <w:rPr>
                <w:lang w:val="en-GB"/>
              </w:rPr>
              <w:t xml:space="preserve"> as an adjustment to net sales or material and services. The ineffective portion is immediately recognised in the financial items in the statement of income for th</w:t>
            </w:r>
            <w:r w:rsidRPr="007C60CF">
              <w:rPr>
                <w:lang w:val="en-GB"/>
              </w:rPr>
              <w:t xml:space="preserve">e </w:t>
            </w:r>
            <w:r>
              <w:rPr>
                <w:lang w:val="en-GB"/>
              </w:rPr>
              <w:t>reporting</w:t>
            </w:r>
            <w:r w:rsidRPr="007C60CF">
              <w:rPr>
                <w:lang w:val="en-GB"/>
              </w:rPr>
              <w:t xml:space="preserve"> period. Changes in fair value of foreign exchange derivatives due to interest rate differences are recognised in the statement of income.</w:t>
            </w:r>
          </w:p>
          <w:p w:rsidR="00117709" w:rsidRPr="007C60CF" w:rsidP="00117709" w14:paraId="0BF304A0" w14:textId="77777777">
            <w:pPr>
              <w:pStyle w:val="Bodytext2"/>
              <w:rPr>
                <w:color w:val="0F172B"/>
                <w:lang w:val="en-GB"/>
              </w:rPr>
            </w:pPr>
          </w:p>
          <w:p w:rsidR="00117709" w:rsidRPr="007C60CF" w:rsidP="00117709" w14:paraId="31AA5820" w14:textId="1D28F9B0">
            <w:pPr>
              <w:pStyle w:val="Bodytext2"/>
              <w:rPr>
                <w:color w:val="0F172B"/>
                <w:lang w:val="en-GB"/>
              </w:rPr>
            </w:pPr>
            <w:r w:rsidRPr="007C60CF">
              <w:rPr>
                <w:color w:val="0F172B"/>
                <w:lang w:val="en-GB"/>
              </w:rPr>
              <w:t xml:space="preserve">More information on fair value adjustments related to cash flow hedges is presented in Note 5.5. Equity, </w:t>
            </w:r>
            <w:r w:rsidRPr="007C60CF">
              <w:rPr>
                <w:color w:val="0F172B"/>
                <w:lang w:val="en-GB"/>
              </w:rPr>
              <w:t xml:space="preserve">and more information on the ineffective portion of cash flow hedges is presented in Note </w:t>
            </w:r>
            <w:r w:rsidRPr="007C60CF" w:rsidR="00B0005B">
              <w:rPr>
                <w:color w:val="0F172B"/>
                <w:lang w:val="en-GB"/>
              </w:rPr>
              <w:t>5.1. Financial income and expenses.</w:t>
            </w:r>
          </w:p>
        </w:tc>
      </w:tr>
    </w:tbl>
    <w:p w:rsidR="00117709" w:rsidRPr="007C60CF" w:rsidP="00117709" w14:paraId="77EAD957" w14:textId="77777777">
      <w:pPr>
        <w:pStyle w:val="Bodytext2"/>
        <w:rPr>
          <w:color w:val="0F172B"/>
        </w:rPr>
      </w:pPr>
    </w:p>
    <w:p w:rsidR="00117709" w:rsidP="00117709" w14:paraId="07A0D85E" w14:textId="76B2E170">
      <w:pPr>
        <w:pStyle w:val="Bodytext2"/>
        <w:rPr>
          <w:color w:val="0F172B"/>
        </w:rPr>
      </w:pPr>
      <w:bookmarkStart w:id="1185" w:name="_Hlk49249124"/>
      <w:r w:rsidRPr="007C60CF">
        <w:rPr>
          <w:color w:val="0F172B"/>
        </w:rPr>
        <w:t xml:space="preserve">The Group applies hedge accounting to </w:t>
      </w:r>
      <w:r>
        <w:rPr>
          <w:color w:val="0F172B"/>
        </w:rPr>
        <w:t xml:space="preserve">the </w:t>
      </w:r>
      <w:r w:rsidRPr="007C60CF">
        <w:rPr>
          <w:color w:val="0F172B"/>
        </w:rPr>
        <w:t>majority of</w:t>
      </w:r>
      <w:r w:rsidRPr="007C60CF">
        <w:rPr>
          <w:color w:val="0F172B"/>
        </w:rPr>
        <w:t xml:space="preserve"> its foreign currency forward contracts.</w:t>
      </w:r>
    </w:p>
    <w:p w:rsidR="00117709" w:rsidP="00117709" w14:paraId="40994811" w14:textId="77777777">
      <w:pPr>
        <w:pStyle w:val="Bodytext2"/>
        <w:rPr>
          <w:color w:val="0F172B"/>
        </w:rPr>
      </w:pPr>
    </w:p>
    <w:p w:rsidR="00117709" w:rsidP="00117709" w14:paraId="536E9DAD" w14:textId="77777777">
      <w:pPr>
        <w:pStyle w:val="Bodytext2"/>
        <w:rPr>
          <w:color w:val="0F172B"/>
        </w:rPr>
      </w:pPr>
      <w:r>
        <w:rPr>
          <w:color w:val="0F172B"/>
        </w:rPr>
        <w:t xml:space="preserve">The open operative </w:t>
      </w:r>
      <w:r>
        <w:rPr>
          <w:color w:val="0F172B"/>
        </w:rPr>
        <w:t>currency positions including financing are hedged by using derivative financial instruments according to the table below.</w:t>
      </w:r>
    </w:p>
    <w:p w:rsidR="00117709" w:rsidP="00117709" w14:paraId="55A3C618" w14:textId="77777777">
      <w:pPr>
        <w:pStyle w:val="Bodytext2"/>
        <w:rPr>
          <w:color w:val="0F172B"/>
        </w:rPr>
      </w:pPr>
    </w:p>
    <w:p w:rsidR="00117709" w:rsidP="00117709" w14:paraId="06F3752B" w14:textId="77777777">
      <w:pPr>
        <w:pStyle w:val="Heading13"/>
        <w:rPr>
          <w:color w:val="auto"/>
        </w:rPr>
      </w:pPr>
      <w:r>
        <w:t>Foreign exchange forwards</w:t>
      </w:r>
    </w:p>
    <w:p w:rsidR="00117709" w:rsidP="00117709" w14:paraId="44E29C0E" w14:textId="77777777">
      <w:pPr>
        <w:pStyle w:val="Bodytext2"/>
      </w:pPr>
    </w:p>
    <w:tbl>
      <w:tblPr>
        <w:tblStyle w:val="TableNormal"/>
        <w:tblCaption w:val="table_58_currency_forward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hRule="exact" w:val="240"/>
        </w:trPr>
        <w:tc>
          <w:tcPr>
            <w:tcW w:w="213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Net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against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fixed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sales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and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purchase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contracts</w:t>
            </w:r>
          </w:p>
        </w:tc>
        <w:tc>
          <w:tcPr>
            <w:tcW w:w="870" w:type="dxa"/>
            <w:tcBorders>
              <w:top w:val="nil"/>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Against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loans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Net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against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fixed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sales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and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purchase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contracts</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Against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loans</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USD</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292</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287</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NOK</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396</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CHF</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CNY</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107</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AUD</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47</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MXN</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SGD</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SEK</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CAD</w:t>
            </w:r>
          </w:p>
        </w:tc>
        <w:tc>
          <w:tcPr>
            <w:tcW w:w="870" w:type="dxa"/>
            <w:tcBorders>
              <w:top w:val="single" w:sz="4" w:space="0" w:color="004A6B"/>
              <w:left w:val="nil"/>
              <w:bottom w:val="single" w:sz="4" w:space="0" w:color="004A6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currencies*</w:t>
            </w:r>
          </w:p>
        </w:tc>
        <w:tc>
          <w:tcPr>
            <w:tcW w:w="870" w:type="dxa"/>
            <w:tcBorders>
              <w:top w:val="single" w:sz="4" w:space="0" w:color="004A6B"/>
              <w:left w:val="nil"/>
              <w:bottom w:val="single" w:sz="8" w:space="0" w:color="0F172B"/>
              <w:right w:val="nil"/>
              <w:tl2br w:val="nil"/>
              <w:tr2bl w:val="nil"/>
            </w:tcBorders>
            <w:shd w:val="clear" w:color="FFFFFF" w:fill="FFFFFF"/>
            <w:noWrap/>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120</w:t>
            </w:r>
          </w:p>
        </w:tc>
        <w:tc>
          <w:tcPr>
            <w:tcW w:w="870" w:type="dxa"/>
            <w:tcBorders>
              <w:top w:val="single" w:sz="4" w:space="0" w:color="004A6B"/>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67</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870" w:type="dxa"/>
            <w:gridSpan w:val="3"/>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net amount of currency derivatives</w:t>
            </w:r>
          </w:p>
        </w:tc>
        <w:tc>
          <w:tcPr>
            <w:tcW w:w="87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936</w:t>
            </w:r>
          </w:p>
        </w:tc>
        <w:tc>
          <w:tcPr>
            <w:tcW w:w="87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437</w:t>
            </w:r>
          </w:p>
        </w:tc>
        <w:tc>
          <w:tcPr>
            <w:tcW w:w="87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1,364</w:t>
            </w:r>
          </w:p>
        </w:tc>
        <w:tc>
          <w:tcPr>
            <w:tcW w:w="87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616</w:t>
            </w:r>
          </w:p>
        </w:tc>
      </w:tr>
    </w:tbl>
    <w:p w:rsidR="00117709" w:rsidP="00117709" w14:paraId="7134FE27" w14:textId="77777777">
      <w:pPr>
        <w:pStyle w:val="Bodytext2"/>
      </w:pPr>
    </w:p>
    <w:p w:rsidR="00117709" w:rsidP="00117709" w14:paraId="190706EC" w14:textId="3B90FFE6">
      <w:pPr>
        <w:pStyle w:val="Bodytext2"/>
      </w:pPr>
      <w:r>
        <w:t xml:space="preserve">* Other currencies do not include any material single </w:t>
      </w:r>
      <w:r>
        <w:t>currencies.</w:t>
      </w:r>
    </w:p>
    <w:p w:rsidR="00117709" w:rsidP="00117709" w14:paraId="3DA13CD0" w14:textId="77777777">
      <w:pPr>
        <w:pStyle w:val="Bodytext2"/>
      </w:pPr>
    </w:p>
    <w:p w:rsidR="00117709" w:rsidP="00117709" w14:paraId="6DA6D06D" w14:textId="77777777">
      <w:pPr>
        <w:pStyle w:val="Bodytext2"/>
      </w:pPr>
      <w:r>
        <w:t>Net loans include non-euro intragroup loans and deposits given by the parent company.</w:t>
      </w:r>
    </w:p>
    <w:p w:rsidR="00117709" w:rsidP="00117709" w14:paraId="3396CFC6" w14:textId="77777777">
      <w:pPr>
        <w:pStyle w:val="Bodytext2"/>
      </w:pPr>
    </w:p>
    <w:p w:rsidR="00117709" w:rsidP="00117709" w14:paraId="3BADA13E" w14:textId="3F1AA979">
      <w:pPr>
        <w:pStyle w:val="Bodytext2"/>
      </w:pPr>
      <w:r>
        <w:t>IFRS hedge accounting has been applied to EUR 1,861 million (2,448) currency forwards. A 5% change in the exchange rates would cause from these currency for</w:t>
      </w:r>
      <w:r>
        <w:t>wards an approximately EUR 45 million (74) impact on the equity. As all material fixed sales and purchase contracts are hedged, the profit and loss sensitivity of foreign exchange from operations (excluding internal financing) is considered minimal.</w:t>
      </w:r>
    </w:p>
    <w:p w:rsidR="00117709" w:rsidP="00117709" w14:paraId="0F0F97DA" w14:textId="77777777">
      <w:pPr>
        <w:pStyle w:val="Bodytext2"/>
      </w:pPr>
    </w:p>
    <w:tbl>
      <w:tblPr>
        <w:tblStyle w:val="TableNormal"/>
        <w:tblCaption w:val="table_58_leg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870"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Gross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amount</w:t>
            </w:r>
          </w:p>
        </w:tc>
        <w:tc>
          <w:tcPr>
            <w:tcW w:w="870" w:type="dxa"/>
            <w:tcBorders>
              <w:top w:val="nil"/>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amount</w:t>
            </w:r>
          </w:p>
        </w:tc>
        <w:tc>
          <w:tcPr>
            <w:tcW w:w="870" w:type="dxa"/>
            <w:tcBorders>
              <w:top w:val="nil"/>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impact</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Gross</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amount</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amount</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impact</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Both legs of currency forwards under hedge accounting*</w:t>
            </w:r>
          </w:p>
        </w:tc>
        <w:tc>
          <w:tcPr>
            <w:tcW w:w="870" w:type="dxa"/>
            <w:tcBorders>
              <w:top w:val="single" w:sz="8" w:space="0" w:color="0F172B"/>
              <w:left w:val="nil"/>
              <w:bottom w:val="single" w:sz="4" w:space="0" w:color="004A6B"/>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1,424</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123</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1,772</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83</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USD</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1,077</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295</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1,332</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640</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NOK</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803</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248</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1,202</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509</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GBP</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79</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57</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128</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MXN</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128</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132</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CNY</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40</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110</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104</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JPY</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CHF</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870" w:type="dxa"/>
            <w:tcBorders>
              <w:top w:val="single" w:sz="4" w:space="0" w:color="004A6B"/>
              <w:left w:val="nil"/>
              <w:bottom w:val="single" w:sz="4" w:space="0" w:color="004A6B"/>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8" w:space="0" w:color="0F172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currencies</w:t>
            </w:r>
          </w:p>
        </w:tc>
        <w:tc>
          <w:tcPr>
            <w:tcW w:w="870" w:type="dxa"/>
            <w:tcBorders>
              <w:top w:val="single" w:sz="4" w:space="0" w:color="004A6B"/>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116</w:t>
            </w:r>
          </w:p>
        </w:tc>
        <w:tc>
          <w:tcPr>
            <w:tcW w:w="870" w:type="dxa"/>
            <w:tcBorders>
              <w:top w:val="single" w:sz="4" w:space="0" w:color="004A6B"/>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81</w:t>
            </w:r>
          </w:p>
        </w:tc>
        <w:tc>
          <w:tcPr>
            <w:tcW w:w="870" w:type="dxa"/>
            <w:tcBorders>
              <w:top w:val="single" w:sz="4" w:space="0" w:color="004A6B"/>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(single leg)</w:t>
            </w:r>
          </w:p>
        </w:tc>
        <w:tc>
          <w:tcPr>
            <w:tcW w:w="870" w:type="dxa"/>
            <w:tcBorders>
              <w:top w:val="single" w:sz="8" w:space="0" w:color="0F172B"/>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1,861</w:t>
            </w:r>
          </w:p>
        </w:tc>
        <w:tc>
          <w:tcPr>
            <w:tcW w:w="870" w:type="dxa"/>
            <w:tcBorders>
              <w:top w:val="single" w:sz="8" w:space="0" w:color="0F172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900</w:t>
            </w:r>
          </w:p>
        </w:tc>
        <w:tc>
          <w:tcPr>
            <w:tcW w:w="870" w:type="dxa"/>
            <w:tcBorders>
              <w:top w:val="single" w:sz="8" w:space="0" w:color="0F172B"/>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2,435</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776</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73</w:t>
            </w:r>
          </w:p>
        </w:tc>
      </w:tr>
    </w:tbl>
    <w:p w:rsidR="00117709" w:rsidP="00117709" w14:paraId="33B05FC8" w14:textId="77777777">
      <w:pPr>
        <w:pStyle w:val="Bodytext2"/>
      </w:pPr>
    </w:p>
    <w:p w:rsidR="00117709" w:rsidP="00117709" w14:paraId="105740AB" w14:textId="77777777">
      <w:pPr>
        <w:pStyle w:val="Bodytext2"/>
      </w:pPr>
      <w:r>
        <w:t>* Intragroup transactions, on which the actual hedge accounting bookings are based.</w:t>
      </w:r>
    </w:p>
    <w:p w:rsidR="00117709" w:rsidRPr="000D5468" w:rsidP="00117709" w14:paraId="7E589EC2" w14:textId="1F1B91E0">
      <w:pPr>
        <w:pStyle w:val="Bodytext2"/>
        <w:rPr>
          <w:sz w:val="2"/>
          <w:szCs w:val="2"/>
        </w:rPr>
      </w:pPr>
      <w:r>
        <w:br w:type="column"/>
      </w:r>
    </w:p>
    <w:tbl>
      <w:tblPr>
        <w:tblStyle w:val="TableNormal"/>
        <w:tblCaption w:val="table_58_hedged"/>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610" w:type="dxa"/>
            <w:gridSpan w:val="5"/>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External currency forwards under hedge accounting by year</w:t>
            </w: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2020</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1,769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2021</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610" w:type="dxa"/>
            <w:gridSpan w:val="5"/>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Hedged highly probable forecasted cash flows by year</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2020</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1,977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2021</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1,341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2022</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2023</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2024</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2025-</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18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192</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t>
            </w:r>
          </w:p>
        </w:tc>
      </w:tr>
    </w:tbl>
    <w:p w:rsidR="00D56CB4" w:rsidP="00D56CB4" w14:paraId="677F80DF" w14:textId="77777777">
      <w:pPr>
        <w:pStyle w:val="Bodytext2"/>
      </w:pPr>
    </w:p>
    <w:p w:rsidR="00D56CB4" w:rsidP="00D56CB4" w14:paraId="0E13527E" w14:textId="78C638D7">
      <w:pPr>
        <w:pStyle w:val="Bodytext2"/>
      </w:pPr>
      <w:r w:rsidRPr="00D56CB4">
        <w:t>*</w:t>
      </w:r>
      <w:r>
        <w:t xml:space="preserve"> Includes 2024 and later for comparison period.</w:t>
      </w:r>
    </w:p>
    <w:p w:rsidR="00117709" w:rsidP="00117709" w14:paraId="397B06CA" w14:textId="77777777">
      <w:pPr>
        <w:pStyle w:val="Bodytext2"/>
        <w:rPr>
          <w:color w:val="0F172B"/>
        </w:rPr>
      </w:pPr>
    </w:p>
    <w:p w:rsidR="00117709" w:rsidP="00117709" w14:paraId="3FC033AC" w14:textId="77777777">
      <w:pPr>
        <w:pStyle w:val="Heading13"/>
      </w:pPr>
      <w:r>
        <w:t>Derivatives</w:t>
      </w:r>
    </w:p>
    <w:p w:rsidR="00117709" w:rsidP="00117709" w14:paraId="4B8B217B" w14:textId="77777777">
      <w:pPr>
        <w:pStyle w:val="Bodytext2"/>
        <w:rPr>
          <w:color w:val="0F172B"/>
        </w:rPr>
      </w:pPr>
    </w:p>
    <w:tbl>
      <w:tblPr>
        <w:tblStyle w:val="TableNormal"/>
        <w:tblCaption w:val="table_57_derivatives"/>
        <w:tblW w:w="7275" w:type="dxa"/>
        <w:tblLayout w:type="fixed"/>
        <w:tblLook w:val="0600"/>
      </w:tblPr>
      <w:tblGrid>
        <w:gridCol w:w="390"/>
        <w:gridCol w:w="3105"/>
        <w:gridCol w:w="945"/>
        <w:gridCol w:w="945"/>
        <w:gridCol w:w="945"/>
        <w:gridCol w:w="945"/>
      </w:tblGrid>
      <w:tr>
        <w:tblPrEx>
          <w:tblW w:w="7275" w:type="dxa"/>
          <w:tblLayout w:type="fixed"/>
          <w:tblLook w:val="0600"/>
        </w:tblPrEx>
        <w:trPr>
          <w:trHeight w:val="240"/>
        </w:trPr>
        <w:tc>
          <w:tcPr>
            <w:tcW w:w="3495" w:type="dxa"/>
            <w:gridSpan w:val="2"/>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which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closed</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which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closed</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495" w:type="dxa"/>
            <w:gridSpan w:val="2"/>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Nominal values of derivative financial instruments (level 2)</w:t>
            </w: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rate swaps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450</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400</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Cross currency swaps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237</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246</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495" w:type="dxa"/>
            <w:gridSpan w:val="2"/>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 included in hedge accounting</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1,010</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558</w:t>
            </w:r>
          </w:p>
        </w:tc>
        <w:tc>
          <w:tcPr>
            <w:tcW w:w="9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1,769</w:t>
            </w:r>
          </w:p>
        </w:tc>
        <w:tc>
          <w:tcPr>
            <w:tcW w:w="9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873</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 no hedge accounting</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650</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245</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597</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213</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2,347</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803</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3,012</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1,086</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10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Fair values of derivative financial instruments (level 2)</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rate swaps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Cross currency swaps</w:t>
            </w: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495" w:type="dxa"/>
            <w:gridSpan w:val="2"/>
            <w:tcBorders>
              <w:top w:val="nil"/>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 included in hedge accounting</w:t>
            </w: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945" w:type="dxa"/>
            <w:tcBorders>
              <w:top w:val="nil"/>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c>
          <w:tcPr>
            <w:tcW w:w="945"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495" w:type="dxa"/>
            <w:gridSpan w:val="2"/>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 no hedge accounting</w:t>
            </w: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9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495" w:type="dxa"/>
            <w:gridSpan w:val="2"/>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c>
          <w:tcPr>
            <w:tcW w:w="945" w:type="dxa"/>
            <w:tcBorders>
              <w:top w:val="nil"/>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bl>
    <w:p w:rsidR="00117709" w:rsidP="00117709" w14:paraId="3E977092" w14:textId="77777777">
      <w:pPr>
        <w:pStyle w:val="Bodytext2"/>
        <w:rPr>
          <w:color w:val="0F172B"/>
        </w:rPr>
      </w:pPr>
    </w:p>
    <w:p w:rsidR="00117709" w:rsidRPr="00A054E2" w:rsidP="00A054E2" w14:paraId="52C66868" w14:textId="7C661CD0">
      <w:pPr>
        <w:pStyle w:val="Bodytext2"/>
      </w:pPr>
      <w:r w:rsidRPr="00A054E2">
        <w:t xml:space="preserve">In addition, the Group had copper </w:t>
      </w:r>
      <w:r w:rsidRPr="00A054E2">
        <w:t>futures and swaps amounting to 113 tons (173) valued at EUR 1 million (1).</w:t>
      </w:r>
    </w:p>
    <w:p w:rsidR="00BF3E3E" w:rsidRPr="00A054E2" w:rsidP="00A054E2" w14:paraId="746C5CC8" w14:textId="7C30635B">
      <w:pPr>
        <w:pStyle w:val="Bodytext2"/>
      </w:pPr>
    </w:p>
    <w:p w:rsidR="00117709" w:rsidRPr="00A054E2" w:rsidP="00A054E2" w14:paraId="3C51EE25" w14:textId="301097FE">
      <w:pPr>
        <w:pStyle w:val="Bodytext2"/>
      </w:pPr>
      <w:r w:rsidRPr="00A054E2">
        <w:t>Foreign currency forward contracts are against transactional risks and fall due during the following 12 months (12). A currency forward is considered closed when there are offsetti</w:t>
      </w:r>
      <w:r w:rsidRPr="00A054E2">
        <w:t>ng cash flows in the same currency with the same value date. Interest rate swaps are denominated in euros and their average maturity is 59 months (69). The average maturity for cross currency swaps is 30 months (41).</w:t>
      </w:r>
    </w:p>
    <w:p w:rsidR="004A5500" w:rsidP="00117709" w14:paraId="05D58F59" w14:textId="6CE8F384">
      <w:pPr>
        <w:pStyle w:val="Bodytext2"/>
        <w:rPr>
          <w:color w:val="0F172B"/>
        </w:rPr>
      </w:pPr>
    </w:p>
    <w:p w:rsidR="004A5500" w:rsidP="004A5500" w14:paraId="0185C009" w14:textId="5F9CCED3">
      <w:pPr>
        <w:pStyle w:val="Bodytext2"/>
      </w:pPr>
      <w:r w:rsidRPr="007C60CF">
        <w:t>Changes in the market value of interes</w:t>
      </w:r>
      <w:r w:rsidRPr="007C60CF">
        <w:t xml:space="preserve">t rate derivatives are usually immediately recognised in the statement of income. However, cash flow hedge accounting in accordance with IFRS 9 is applied to a EUR </w:t>
      </w:r>
      <w:r>
        <w:t>130</w:t>
      </w:r>
      <w:r w:rsidRPr="007C60CF">
        <w:t xml:space="preserve"> million (130) amortising interest rate swap maturing in 2031. The interest rate hedge sw</w:t>
      </w:r>
      <w:r w:rsidRPr="007C60CF">
        <w:t>aps variable interest payments of a large lease agreement</w:t>
      </w:r>
      <w:r>
        <w:t>,</w:t>
      </w:r>
      <w:r w:rsidRPr="007C60CF">
        <w:t xml:space="preserve"> to fixed</w:t>
      </w:r>
      <w:r>
        <w:t xml:space="preserve"> interest payments</w:t>
      </w:r>
      <w:r w:rsidRPr="007C60CF">
        <w:t xml:space="preserve">. As the hedge and the underlying cash flow have matching critical terms, the hedge ratio is 1:1 and the hedge is expected to be 100% effective. In 2020, </w:t>
      </w:r>
      <w:r>
        <w:t xml:space="preserve">a </w:t>
      </w:r>
      <w:r w:rsidRPr="007C60CF">
        <w:t xml:space="preserve">EUR </w:t>
      </w:r>
      <w:r>
        <w:t>-6</w:t>
      </w:r>
      <w:r w:rsidRPr="007C60CF">
        <w:t xml:space="preserve"> million </w:t>
      </w:r>
      <w:r w:rsidRPr="007C60CF">
        <w:t>(2) fair value adjustment related to cash flow hedge was recognised in equity</w:t>
      </w:r>
      <w:r>
        <w:t>,</w:t>
      </w:r>
      <w:r w:rsidRPr="007C60CF">
        <w:t xml:space="preserve"> and no amounts have been reclassified to profit and loss.</w:t>
      </w:r>
    </w:p>
    <w:p w:rsidR="00A054E2" w:rsidP="004A5500" w14:paraId="1DB750E4" w14:textId="1CA7054F">
      <w:pPr>
        <w:pStyle w:val="Bodytext2"/>
      </w:pPr>
    </w:p>
    <w:p w:rsidR="00A054E2" w:rsidP="004A5500" w14:paraId="4E83704E" w14:textId="5432CFB7">
      <w:pPr>
        <w:pStyle w:val="Bodytext2"/>
      </w:pPr>
      <w:r w:rsidRPr="00A054E2">
        <w:t xml:space="preserve">Wärtsilä does not see any significant increase in counterparty credit risk to outstanding derivatives due to COVID-19 </w:t>
      </w:r>
      <w:r w:rsidRPr="00A054E2">
        <w:t>pandemic, as only high credit quality counterparties have been used. Derivatives under hedge accounting are expected to remain effective, as there has been no significant increase in the cancellations of orders. The hedged cash flows are still considered t</w:t>
      </w:r>
      <w:r w:rsidRPr="00A054E2">
        <w:t>o be highly probable.</w:t>
      </w:r>
    </w:p>
    <w:p w:rsidR="00117709" w:rsidP="00117709" w14:paraId="2E29C34E" w14:textId="77777777">
      <w:pPr>
        <w:pStyle w:val="Bodytext2"/>
        <w:rPr>
          <w:color w:val="0F172B"/>
        </w:rPr>
      </w:pPr>
    </w:p>
    <w:p w:rsidR="00117709" w:rsidRPr="00627F56" w:rsidP="00627F56" w14:paraId="13365437" w14:textId="1A86431D">
      <w:pPr>
        <w:pStyle w:val="Bodytext2"/>
      </w:pPr>
      <w:r w:rsidRPr="00627F56">
        <w:t xml:space="preserve">Normally </w:t>
      </w:r>
      <w:r w:rsidRPr="00627F56">
        <w:t>all of</w:t>
      </w:r>
      <w:r w:rsidRPr="00627F56">
        <w:t xml:space="preserve"> the Groups' derivatives are carried out according to International Swaps and Derivatives Association's Master Agreements (ISDA). In case of an event of default under these agreements, the non-defaulting party may requ</w:t>
      </w:r>
      <w:r w:rsidRPr="00627F56">
        <w:t>est early termination and set-off of all outstanding transactions. These agreements do not meet the criteria for offsetting in the statement of financial position. The following table sets out the carrying amounts of recognised financial instruments that a</w:t>
      </w:r>
      <w:r w:rsidRPr="00627F56">
        <w:t>re subject to the above agreements.</w:t>
      </w:r>
    </w:p>
    <w:p w:rsidR="00117709" w:rsidP="00117709" w14:paraId="26498365" w14:textId="77777777">
      <w:pPr>
        <w:pStyle w:val="Bodytext2"/>
        <w:rPr>
          <w:color w:val="0F172B"/>
        </w:rPr>
      </w:pPr>
    </w:p>
    <w:tbl>
      <w:tblPr>
        <w:tblStyle w:val="TableNormal"/>
        <w:tblCaption w:val="table_57_isda"/>
        <w:tblW w:w="7275" w:type="dxa"/>
        <w:tblLayout w:type="fixed"/>
        <w:tblLook w:val="0600"/>
      </w:tblPr>
      <w:tblGrid>
        <w:gridCol w:w="390"/>
        <w:gridCol w:w="3105"/>
        <w:gridCol w:w="945"/>
        <w:gridCol w:w="945"/>
        <w:gridCol w:w="945"/>
        <w:gridCol w:w="945"/>
      </w:tblGrid>
      <w:tr>
        <w:tblPrEx>
          <w:tblW w:w="7275" w:type="dxa"/>
          <w:tblLayout w:type="fixed"/>
          <w:tblLook w:val="0600"/>
        </w:tblPrEx>
        <w:trPr>
          <w:trHeight w:val="240"/>
        </w:trPr>
        <w:tc>
          <w:tcPr>
            <w:tcW w:w="3495" w:type="dxa"/>
            <w:gridSpan w:val="2"/>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94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385" w:type="dxa"/>
            <w:gridSpan w:val="4"/>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Gross fair values of derivative financial instruments subject to ISDAs</w:t>
            </w: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10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Cross currency swaps</w:t>
            </w:r>
          </w:p>
        </w:tc>
        <w:tc>
          <w:tcPr>
            <w:tcW w:w="945"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45" w:type="dxa"/>
            <w:tcBorders>
              <w:top w:val="nil"/>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9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10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rate swaps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Cross currency swaps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4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9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10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10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385"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fair values of derivative financial instruments subject to ISDAs</w:t>
            </w:r>
          </w:p>
        </w:tc>
        <w:tc>
          <w:tcPr>
            <w:tcW w:w="9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Assets</w:t>
            </w: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9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Liabilities</w:t>
            </w: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c>
          <w:tcPr>
            <w:tcW w:w="9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49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4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c>
          <w:tcPr>
            <w:tcW w:w="94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bl>
    <w:p w:rsidR="00117709" w:rsidRPr="00117709" w:rsidP="00117709" w14:paraId="7D8D37AF" w14:textId="228EA0B9">
      <w:pPr>
        <w:pStyle w:val="Bodytext2"/>
      </w:pPr>
      <w:bookmarkEnd w:id="1185"/>
      <w:r>
        <w:t xml:space="preserve"> </w:t>
      </w:r>
    </w:p>
    <w:p/>
    <w:p w:rsidR="000F07C1" w:rsidRPr="0039314B" w:rsidP="000F07C1" w14:paraId="5A98EECA" w14:textId="77777777">
      <w:pPr>
        <w:pStyle w:val="Heading12"/>
      </w:pPr>
      <w:bookmarkStart w:id="1186" w:name="RG_MARKER_4175"/>
      <w:r w:rsidRPr="0039314B">
        <w:t>5.8. FINANCIAL RISKS</w:t>
      </w:r>
      <w:bookmarkEnd w:id="1186"/>
    </w:p>
    <w:p w:rsidR="000F07C1" w:rsidRPr="0039314B" w:rsidP="000F07C1" w14:paraId="380DA615" w14:textId="77777777">
      <w:pPr>
        <w:spacing w:before="48" w:after="0"/>
        <w:rPr>
          <w:rFonts w:ascii="Arial" w:hAnsi="Arial" w:cs="Arial"/>
          <w:b/>
          <w:bCs/>
          <w:sz w:val="17"/>
          <w:szCs w:val="17"/>
          <w:lang w:val="en-GB"/>
        </w:rPr>
      </w:pPr>
    </w:p>
    <w:p w:rsidR="000F07C1" w:rsidRPr="0039314B" w:rsidP="000F07C1" w14:paraId="7EA94047" w14:textId="77777777">
      <w:pPr>
        <w:pStyle w:val="Heading13"/>
      </w:pPr>
      <w:r w:rsidRPr="0039314B">
        <w:t>General</w:t>
      </w:r>
    </w:p>
    <w:p w:rsidR="000F07C1" w:rsidRPr="0039314B" w:rsidP="000F07C1" w14:paraId="3E13DD07" w14:textId="77777777">
      <w:pPr>
        <w:pStyle w:val="Bodytext2"/>
      </w:pPr>
      <w:r w:rsidRPr="0039314B">
        <w:t>Wärtsilä has a centralised</w:t>
      </w:r>
      <w:r w:rsidRPr="0039314B">
        <w:t xml:space="preserve"> Group Treasury, which has two main objectives: 1) to arrange adequate funding for the Group’s underlying operations on competitive terms and 2) to identify and evaluate the financial risks within the Group and implement the hedges for the Group companies.</w:t>
      </w:r>
    </w:p>
    <w:p w:rsidR="000F07C1" w:rsidRPr="0039314B" w:rsidP="000F07C1" w14:paraId="1B132B7D" w14:textId="77777777">
      <w:pPr>
        <w:pStyle w:val="Bodytext2"/>
      </w:pPr>
    </w:p>
    <w:p w:rsidR="000F07C1" w:rsidRPr="0039314B" w:rsidP="000F07C1" w14:paraId="49781B00" w14:textId="3D305F9C">
      <w:pPr>
        <w:pStyle w:val="Bodytext2"/>
      </w:pPr>
      <w:r w:rsidRPr="0039314B">
        <w:t>The objective is to hedge against unfavourable changes in the financial markets and to minimise the impact of foreign exchange, interest rate, credit, and liquidity risks on the Group’s cash reserves, profits</w:t>
      </w:r>
      <w:r w:rsidR="0039314B">
        <w:t>,</w:t>
      </w:r>
      <w:r w:rsidRPr="0039314B">
        <w:t xml:space="preserve"> and shareholder equity.</w:t>
      </w:r>
    </w:p>
    <w:p w:rsidR="000F07C1" w:rsidRPr="0039314B" w:rsidP="000F07C1" w14:paraId="1FB09882" w14:textId="77777777">
      <w:pPr>
        <w:pStyle w:val="Bodytext2"/>
      </w:pPr>
    </w:p>
    <w:p w:rsidR="000F07C1" w:rsidRPr="0039314B" w:rsidP="000F07C1" w14:paraId="54D76DF8" w14:textId="77777777">
      <w:pPr>
        <w:pStyle w:val="Bodytext2"/>
      </w:pPr>
      <w:r w:rsidRPr="0039314B">
        <w:t xml:space="preserve">The Financial Risk </w:t>
      </w:r>
      <w:r w:rsidRPr="0039314B">
        <w:t>Policy is approved by the Board of Directors. The Group Treasury employs only such instruments whose market value and risk profile it can reliably monitor.</w:t>
      </w:r>
    </w:p>
    <w:p w:rsidR="000F07C1" w:rsidRPr="0039314B" w:rsidP="000F07C1" w14:paraId="67A2AC84" w14:textId="77777777">
      <w:pPr>
        <w:pStyle w:val="Bodytext2"/>
      </w:pPr>
    </w:p>
    <w:p w:rsidR="000F07C1" w:rsidRPr="0039314B" w:rsidP="000F07C1" w14:paraId="66C13398" w14:textId="77777777">
      <w:pPr>
        <w:pStyle w:val="Heading13"/>
      </w:pPr>
      <w:r w:rsidRPr="0039314B">
        <w:t>Foreign exchange risk</w:t>
      </w:r>
    </w:p>
    <w:p w:rsidR="000F07C1" w:rsidRPr="0039314B" w:rsidP="000F07C1" w14:paraId="1CE540C9" w14:textId="539FFDBD">
      <w:pPr>
        <w:pStyle w:val="Bodytext2"/>
      </w:pPr>
      <w:r w:rsidRPr="0039314B">
        <w:t>Foreign exchange exposures are monitored at the Business level, hedged at com</w:t>
      </w:r>
      <w:r w:rsidRPr="0039314B">
        <w:t>pany level against the Group Treasury</w:t>
      </w:r>
      <w:r>
        <w:t>,</w:t>
      </w:r>
      <w:r w:rsidRPr="0039314B">
        <w:t xml:space="preserve"> and then netted and covered externally at Group level by the Group Treasury. All material fixed sales and purchase contracts, including both future cash flows and related accounts receivable and payable, are hedged. T</w:t>
      </w:r>
      <w:r w:rsidRPr="0039314B">
        <w:t xml:space="preserve">he estimated future commercial exposures are evaluated by the Businesses, and the level of hedging is decided by the Board of Management. Hedge accounting in accordance with IFRS 9 is applied to most of the hedges of these exposures. The hedges cover such </w:t>
      </w:r>
      <w:r w:rsidRPr="0039314B">
        <w:t>time periods that both the prices and costs can be adjusted to new exchange rates. These periods vary among Group companies from one month to two years. The Group also hedges its position of the statement of financial position, which includes cash balances</w:t>
      </w:r>
      <w:r w:rsidRPr="0039314B">
        <w:t>, loans/deposits</w:t>
      </w:r>
      <w:r w:rsidR="0039314B">
        <w:t>,</w:t>
      </w:r>
      <w:r w:rsidRPr="0039314B">
        <w:t xml:space="preserve"> as well as other receivables and payables denominated in foreign currencies.</w:t>
      </w:r>
    </w:p>
    <w:p w:rsidR="000F07C1" w:rsidRPr="0039314B" w:rsidP="000F07C1" w14:paraId="21F32E72" w14:textId="77777777">
      <w:pPr>
        <w:pStyle w:val="Bodytext2"/>
      </w:pPr>
    </w:p>
    <w:p w:rsidR="000F07C1" w:rsidRPr="00D65049" w:rsidP="000F07C1" w14:paraId="09499393" w14:textId="2764D7A2">
      <w:pPr>
        <w:pStyle w:val="Bodytext2"/>
        <w:rPr>
          <w:sz w:val="2"/>
          <w:szCs w:val="2"/>
        </w:rPr>
      </w:pPr>
      <w:r w:rsidRPr="0039314B">
        <w:t xml:space="preserve">As field service work is invoiced in local currencies, there is some foreign exchange change related volatility in the </w:t>
      </w:r>
      <w:r w:rsidRPr="0039314B" w:rsidR="00232FC5">
        <w:t>consolidated net sales</w:t>
      </w:r>
      <w:r w:rsidRPr="0039314B">
        <w:t>. However, the effe</w:t>
      </w:r>
      <w:r w:rsidRPr="0039314B">
        <w:t xml:space="preserve">ct </w:t>
      </w:r>
      <w:r w:rsidR="0039314B">
        <w:t>on</w:t>
      </w:r>
      <w:r w:rsidRPr="0039314B">
        <w:t xml:space="preserve"> the profitability is limited as the related costs are in the same currency. Spare part sales are based on </w:t>
      </w:r>
      <w:r w:rsidR="0039314B">
        <w:t xml:space="preserve">a </w:t>
      </w:r>
      <w:r w:rsidRPr="0039314B">
        <w:t xml:space="preserve">euro price list and related purchases in non-euro currencies are hedged, so </w:t>
      </w:r>
      <w:r w:rsidR="0039314B">
        <w:t xml:space="preserve">the </w:t>
      </w:r>
      <w:r w:rsidRPr="0039314B">
        <w:t xml:space="preserve">effect from foreign currency rate changes </w:t>
      </w:r>
      <w:r w:rsidR="0039314B">
        <w:t>on</w:t>
      </w:r>
      <w:r w:rsidRPr="0039314B">
        <w:t xml:space="preserve"> spare part sales </w:t>
      </w:r>
      <w:r w:rsidRPr="0039314B">
        <w:t>i</w:t>
      </w:r>
      <w:r w:rsidR="0039314B">
        <w:t>s</w:t>
      </w:r>
      <w:r w:rsidRPr="0039314B">
        <w:t xml:space="preserve"> minimal. As project/hardware sales/purchases</w:t>
      </w:r>
      <w:r w:rsidR="0039314B">
        <w:t>,</w:t>
      </w:r>
      <w:r w:rsidRPr="0039314B">
        <w:t xml:space="preserve"> as well as estimated currency exposures from long-term agreements</w:t>
      </w:r>
      <w:r w:rsidR="0039314B">
        <w:t>,</w:t>
      </w:r>
      <w:r w:rsidRPr="0039314B">
        <w:t xml:space="preserve"> are hedged, the Group does not expect significant gains/losses from foreign exchange rate changes in 2021 related to its operations</w:t>
      </w:r>
      <w:r w:rsidR="0039314B">
        <w:t>,</w:t>
      </w:r>
      <w:r w:rsidRPr="0039314B">
        <w:t xml:space="preserve"> excludi</w:t>
      </w:r>
      <w:r w:rsidRPr="0039314B">
        <w:t>ng internal financing.</w:t>
      </w:r>
      <w:r>
        <w:br w:type="column"/>
      </w:r>
    </w:p>
    <w:p w:rsidR="000F07C1" w:rsidRPr="0039314B" w:rsidP="000F07C1" w14:paraId="673DABB6" w14:textId="77777777">
      <w:pPr>
        <w:pStyle w:val="Bodytext2"/>
        <w:rPr>
          <w:color w:val="auto"/>
        </w:rPr>
      </w:pPr>
      <w:r w:rsidRPr="0039314B">
        <w:t>The instruments, and their nominal values, used to hedge the Group’s foreign exchange exposures are listed in Note 5.7. Derivative financial instruments.</w:t>
      </w:r>
    </w:p>
    <w:p w:rsidR="000F07C1" w:rsidRPr="0039314B" w:rsidP="000F07C1" w14:paraId="43F14E04" w14:textId="77777777">
      <w:pPr>
        <w:pStyle w:val="Bodytext2"/>
      </w:pPr>
    </w:p>
    <w:p w:rsidR="000F07C1" w:rsidRPr="0039314B" w:rsidP="000F07C1" w14:paraId="20CE0043" w14:textId="49A57196">
      <w:pPr>
        <w:pStyle w:val="Bodytext2"/>
      </w:pPr>
      <w:r w:rsidRPr="0039314B">
        <w:t>Since Wärtsilä has subsidiaries and joint ventures outside the euro zone, the</w:t>
      </w:r>
      <w:r w:rsidRPr="0039314B">
        <w:t xml:space="preserve"> Group’s equity, goodwill and purchase price allocations are sensitive to exchange rate fluctuations. At the end of 2020, the net assets of Wärtsilä’s foreign subsidiaries and joint ventures outside the euro zone totalled EUR </w:t>
      </w:r>
      <w:r>
        <w:t>956</w:t>
      </w:r>
      <w:r w:rsidRPr="0039314B">
        <w:t xml:space="preserve"> million (1,041). In additi</w:t>
      </w:r>
      <w:r w:rsidRPr="0039314B">
        <w:t xml:space="preserve">on, goodwill and purchase price allocations from acquisitions nominated in foreign currencies amounted to EUR </w:t>
      </w:r>
      <w:r>
        <w:t>865</w:t>
      </w:r>
      <w:r w:rsidRPr="0039314B">
        <w:t xml:space="preserve"> million (926). In 2020, the translation differences recognised in other comprehensive income mainly come from changes in </w:t>
      </w:r>
      <w:r w:rsidR="0039314B">
        <w:t xml:space="preserve">the </w:t>
      </w:r>
      <w:r w:rsidRPr="0039314B">
        <w:t>GBP exchange rate</w:t>
      </w:r>
      <w:r w:rsidRPr="0039314B">
        <w:t>.</w:t>
      </w:r>
    </w:p>
    <w:p w:rsidR="00232FC5" w:rsidRPr="0039314B" w:rsidP="000F07C1" w14:paraId="5E3FEC49" w14:textId="77777777">
      <w:pPr>
        <w:pStyle w:val="Bodytext2"/>
      </w:pPr>
    </w:p>
    <w:p w:rsidR="000F07C1" w:rsidP="000F07C1" w14:paraId="2E0660E3" w14:textId="46015852">
      <w:pPr>
        <w:pStyle w:val="Bodytext2"/>
      </w:pPr>
      <w:r w:rsidRPr="0039314B">
        <w:t xml:space="preserve">Approximately </w:t>
      </w:r>
      <w:r>
        <w:t>65</w:t>
      </w:r>
      <w:r w:rsidRPr="0039314B">
        <w:t xml:space="preserve">% (67) of sales and </w:t>
      </w:r>
      <w:r>
        <w:t>61</w:t>
      </w:r>
      <w:r w:rsidRPr="0039314B">
        <w:t xml:space="preserve">% (59) of operating costs were denominated in euros, and approximately </w:t>
      </w:r>
      <w:r>
        <w:t>20</w:t>
      </w:r>
      <w:r w:rsidRPr="0039314B">
        <w:t xml:space="preserve">% (20) of sales and </w:t>
      </w:r>
      <w:r>
        <w:t>11</w:t>
      </w:r>
      <w:r w:rsidRPr="0039314B">
        <w:t>% (10) of operating costs were denominated in US dollars. The remainder were split between several currencies. The Group</w:t>
      </w:r>
      <w:r w:rsidRPr="0039314B">
        <w:t>’s profits and competitiveness are also indirectly affected by the home currencies</w:t>
      </w:r>
      <w:r w:rsidR="0039314B">
        <w:t xml:space="preserve"> (USD, GBP, JPY and KRW)</w:t>
      </w:r>
      <w:r w:rsidRPr="0039314B">
        <w:t xml:space="preserve"> of its main competitor</w:t>
      </w:r>
      <w:r w:rsidR="0039314B">
        <w:t>s.</w:t>
      </w:r>
    </w:p>
    <w:p w:rsidR="0039314B" w:rsidRPr="0039314B" w:rsidP="000F07C1" w14:paraId="7EE7C517" w14:textId="77777777">
      <w:pPr>
        <w:pStyle w:val="Bodytext2"/>
      </w:pPr>
    </w:p>
    <w:p w:rsidR="000F07C1" w:rsidRPr="0039314B" w:rsidP="000F07C1" w14:paraId="45BFB204" w14:textId="77777777">
      <w:pPr>
        <w:pStyle w:val="Bodytext2"/>
      </w:pPr>
      <w:r w:rsidRPr="0039314B">
        <w:t xml:space="preserve">As </w:t>
      </w:r>
      <w:bookmarkStart w:id="1187" w:name="XBRL_CS_6107efb0853645c9937a92b6e72d8845"/>
      <w:r w:rsidRPr="0039314B">
        <w:t>Wärtsilä's operations are global</w:t>
      </w:r>
      <w:bookmarkStart w:id="1188" w:name="XBRL_CE_6107efb0853645c9937a92b6e72d8845"/>
      <w:bookmarkEnd w:id="1187"/>
      <w:bookmarkEnd w:id="1188"/>
      <w:r w:rsidRPr="0039314B">
        <w:t>, they often involve currency risks. The largest operative currency positions (excluding</w:t>
      </w:r>
      <w:r w:rsidRPr="0039314B">
        <w:t xml:space="preserve"> financing) open as of 31 December 2020 by currency pair are listed below.</w:t>
      </w:r>
    </w:p>
    <w:p w:rsidR="000F07C1" w:rsidRPr="0039314B" w:rsidP="000F07C1" w14:paraId="661D1D37" w14:textId="6C12FC01">
      <w:pPr>
        <w:pStyle w:val="Bodytext2"/>
      </w:pPr>
    </w:p>
    <w:p w:rsidR="00ED6B56" w:rsidRPr="0039314B" w:rsidP="00ED6B56" w14:paraId="2F5A92DE" w14:textId="2DA47059">
      <w:pPr>
        <w:pStyle w:val="Heading13"/>
      </w:pPr>
      <w:r w:rsidRPr="0039314B">
        <w:t>2020</w:t>
      </w:r>
    </w:p>
    <w:tbl>
      <w:tblPr>
        <w:tblStyle w:val="TableNormal"/>
        <w:tblCaption w:val="table_58_currency_position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740" w:type="dxa"/>
            <w:gridSpan w:val="2"/>
            <w:tcBorders>
              <w:top w:val="nil"/>
              <w:left w:val="nil"/>
              <w:bottom w:val="nil"/>
              <w:right w:val="nil"/>
              <w:tl2br w:val="nil"/>
              <w:tr2bl w:val="nil"/>
            </w:tcBorders>
            <w:shd w:val="clear" w:color="FFFFFF" w:fill="EBEBEB"/>
            <w:noWrap w:val="0"/>
            <w:tcMar>
              <w:left w:w="40" w:type="dxa"/>
              <w:right w:w="40" w:type="dxa"/>
            </w:tcMar>
            <w:textDirection w:val="lrTb"/>
            <w:tcFitText w:val="0"/>
            <w:vAlign w:val="top"/>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Statement of financial position</w:t>
            </w:r>
          </w:p>
        </w:tc>
        <w:tc>
          <w:tcPr>
            <w:tcW w:w="1740" w:type="dxa"/>
            <w:gridSpan w:val="2"/>
            <w:tcBorders>
              <w:top w:val="nil"/>
              <w:left w:val="nil"/>
              <w:bottom w:val="nil"/>
              <w:right w:val="nil"/>
              <w:tl2br w:val="nil"/>
              <w:tr2bl w:val="nil"/>
            </w:tcBorders>
            <w:shd w:val="clear" w:color="FFFFFF" w:fill="EBEBEB"/>
            <w:noWrap w:val="0"/>
            <w:tcMar>
              <w:left w:w="40" w:type="dxa"/>
              <w:right w:w="40" w:type="dxa"/>
            </w:tcMar>
            <w:textDirection w:val="lrTb"/>
            <w:tcFitText w:val="0"/>
            <w:vAlign w:val="top"/>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Estimated cash flows</w:t>
            </w:r>
          </w:p>
        </w:tc>
        <w:tc>
          <w:tcPr>
            <w:tcW w:w="870" w:type="dxa"/>
            <w:tcBorders>
              <w:top w:val="nil"/>
              <w:left w:val="nil"/>
              <w:bottom w:val="nil"/>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currency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received</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currency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paid</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currency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received</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currency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paid</w:t>
            </w: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EUR/USD</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53</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147</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303</w:t>
            </w: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EUR/NOK</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USD/NOK</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EUR/CNY</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65</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EUR/GBP</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89</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EUR/SGD</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EUR/JPY</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r>
    </w:tbl>
    <w:p w:rsidR="000F07C1" w:rsidRPr="00BB09E0" w:rsidP="000F07C1" w14:paraId="05F6B80D" w14:textId="4150FC41">
      <w:pPr>
        <w:pStyle w:val="Bodytext2"/>
        <w:rPr>
          <w:sz w:val="2"/>
          <w:szCs w:val="2"/>
        </w:rPr>
      </w:pPr>
      <w:r>
        <w:br w:type="column"/>
      </w:r>
    </w:p>
    <w:p w:rsidR="00ED6B56" w:rsidRPr="0039314B" w:rsidP="00ED6B56" w14:paraId="2DAE2333" w14:textId="25CB2C72">
      <w:pPr>
        <w:pStyle w:val="Heading13"/>
      </w:pPr>
      <w:r w:rsidRPr="0039314B">
        <w:t>2019</w:t>
      </w:r>
    </w:p>
    <w:tbl>
      <w:tblPr>
        <w:tblStyle w:val="TableNormal"/>
        <w:tblCaption w:val="table_58_currency_positions_pre"/>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740" w:type="dxa"/>
            <w:gridSpan w:val="2"/>
            <w:tcBorders>
              <w:top w:val="nil"/>
              <w:left w:val="nil"/>
              <w:bottom w:val="nil"/>
              <w:right w:val="nil"/>
              <w:tl2br w:val="nil"/>
              <w:tr2bl w:val="nil"/>
            </w:tcBorders>
            <w:shd w:val="clear" w:color="FFFFFF" w:fill="FFFFFF"/>
            <w:noWrap w:val="0"/>
            <w:tcMar>
              <w:left w:w="40" w:type="dxa"/>
              <w:right w:w="40" w:type="dxa"/>
            </w:tcMar>
            <w:textDirection w:val="lrTb"/>
            <w:tcFitText w:val="0"/>
            <w:vAlign w:val="top"/>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Statement of financial position</w:t>
            </w:r>
          </w:p>
        </w:tc>
        <w:tc>
          <w:tcPr>
            <w:tcW w:w="1740" w:type="dxa"/>
            <w:gridSpan w:val="2"/>
            <w:tcBorders>
              <w:top w:val="nil"/>
              <w:left w:val="nil"/>
              <w:bottom w:val="nil"/>
              <w:right w:val="nil"/>
              <w:tl2br w:val="nil"/>
              <w:tr2bl w:val="nil"/>
            </w:tcBorders>
            <w:shd w:val="clear" w:color="FFFFFF" w:fill="FFFFFF"/>
            <w:noWrap w:val="0"/>
            <w:tcMar>
              <w:left w:w="40" w:type="dxa"/>
              <w:right w:w="40" w:type="dxa"/>
            </w:tcMar>
            <w:textDirection w:val="lrTb"/>
            <w:tcFitText w:val="0"/>
            <w:vAlign w:val="top"/>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Estimated cash flows</w:t>
            </w: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currency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received</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currency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paid</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currency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received</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Base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currency</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paid</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EUR/USD</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77</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152</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338</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512</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EUR/NOK</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USD/NOK</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EUR/CNY</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26</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70</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EUR/GBP</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EUR/JPY</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w:t>
            </w:r>
          </w:p>
        </w:tc>
      </w:tr>
    </w:tbl>
    <w:p w:rsidR="000F07C1" w:rsidRPr="0039314B" w:rsidP="000F07C1" w14:paraId="64FF81DE" w14:textId="77777777">
      <w:pPr>
        <w:pStyle w:val="Bodytext2"/>
      </w:pPr>
    </w:p>
    <w:p w:rsidR="000F07C1" w:rsidRPr="0039314B" w:rsidP="000F07C1" w14:paraId="392615DD" w14:textId="34CD1297">
      <w:pPr>
        <w:pStyle w:val="Bodytext2"/>
      </w:pPr>
      <w:r w:rsidRPr="0039314B">
        <w:t xml:space="preserve">As the main funding currency for the Group, including the Group Treasury, is </w:t>
      </w:r>
      <w:r w:rsidR="0039314B">
        <w:t xml:space="preserve">the </w:t>
      </w:r>
      <w:r w:rsidRPr="0039314B">
        <w:t>euro and</w:t>
      </w:r>
      <w:r w:rsidR="0039314B">
        <w:t xml:space="preserve"> since</w:t>
      </w:r>
      <w:r w:rsidRPr="0039314B">
        <w:t xml:space="preserve"> the subsidiaries are normally funded in their home currencies by the Group Treasury, the Group Treasury had the following related open currency positions as of </w:t>
      </w:r>
      <w:r w:rsidRPr="0039314B">
        <w:t>31 December 2020.</w:t>
      </w:r>
    </w:p>
    <w:p w:rsidR="000F07C1" w:rsidRPr="0039314B" w:rsidP="000F07C1" w14:paraId="05218E90" w14:textId="77777777">
      <w:pPr>
        <w:pStyle w:val="Bodytext2"/>
      </w:pPr>
    </w:p>
    <w:tbl>
      <w:tblPr>
        <w:tblStyle w:val="TableNormal"/>
        <w:tblCaption w:val="table_58_open_currency_position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70"/>
        </w:trPr>
        <w:tc>
          <w:tcPr>
            <w:tcW w:w="2130"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870"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Loans</w:t>
            </w:r>
          </w:p>
        </w:tc>
        <w:tc>
          <w:tcPr>
            <w:tcW w:w="870" w:type="dxa"/>
            <w:tcBorders>
              <w:top w:val="nil"/>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Deposits</w:t>
            </w:r>
          </w:p>
        </w:tc>
        <w:tc>
          <w:tcPr>
            <w:tcW w:w="870" w:type="dxa"/>
            <w:tcBorders>
              <w:top w:val="nil"/>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tc>
        <w:tc>
          <w:tcPr>
            <w:tcW w:w="87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Loans</w:t>
            </w:r>
          </w:p>
        </w:tc>
        <w:tc>
          <w:tcPr>
            <w:tcW w:w="87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Deposits</w:t>
            </w:r>
          </w:p>
        </w:tc>
        <w:tc>
          <w:tcPr>
            <w:tcW w:w="87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Intragroup loans/deposits</w:t>
            </w: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USD</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282</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266</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GBP</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68</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60</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CHF</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103</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AUD</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NOK</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SGD</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CNY</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CAD</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currencies*</w:t>
            </w:r>
          </w:p>
        </w:tc>
        <w:tc>
          <w:tcPr>
            <w:tcW w:w="870" w:type="dxa"/>
            <w:tcBorders>
              <w:top w:val="single" w:sz="4" w:space="0" w:color="004A6B"/>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70" w:type="dxa"/>
            <w:tcBorders>
              <w:top w:val="single" w:sz="4" w:space="0" w:color="004A6B"/>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center"/>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External loans/deposits</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JPY</w:t>
            </w: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237**</w:t>
            </w: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237</w:t>
            </w:r>
          </w:p>
        </w:tc>
        <w:tc>
          <w:tcPr>
            <w:tcW w:w="87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246**</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USD</w:t>
            </w: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870"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388</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455</w:t>
            </w: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692</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435</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639</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906</w:t>
            </w:r>
          </w:p>
        </w:tc>
      </w:tr>
    </w:tbl>
    <w:p w:rsidR="000F07C1" w:rsidRPr="0039314B" w:rsidP="000F07C1" w14:paraId="4D5A146A" w14:textId="77777777">
      <w:pPr>
        <w:pStyle w:val="Bodytext2"/>
      </w:pPr>
    </w:p>
    <w:p w:rsidR="000F07C1" w:rsidRPr="0039314B" w:rsidP="000F07C1" w14:paraId="13CE0CA3" w14:textId="77777777">
      <w:pPr>
        <w:pStyle w:val="Bodytext2"/>
      </w:pPr>
      <w:r w:rsidRPr="0039314B">
        <w:t>* The other currencies do not net as they are of different currencies.</w:t>
      </w:r>
    </w:p>
    <w:p w:rsidR="000F07C1" w:rsidRPr="0039314B" w:rsidP="000F07C1" w14:paraId="62C792CB" w14:textId="77777777">
      <w:pPr>
        <w:pStyle w:val="Bodytext2"/>
      </w:pPr>
      <w:r w:rsidRPr="0039314B">
        <w:t>** External JPY loans are fully hedged with cross currency swaps.</w:t>
      </w:r>
    </w:p>
    <w:p w:rsidR="000F07C1" w:rsidRPr="0039314B" w:rsidP="000F07C1" w14:paraId="1D575DD3" w14:textId="77777777">
      <w:pPr>
        <w:pStyle w:val="Bodytext2"/>
      </w:pPr>
    </w:p>
    <w:p w:rsidR="000F07C1" w:rsidRPr="0039314B" w:rsidP="000F07C1" w14:paraId="3BB72698" w14:textId="04855321">
      <w:pPr>
        <w:pStyle w:val="Bodytext2"/>
      </w:pPr>
      <w:r w:rsidRPr="0039314B">
        <w:t>Some Group companies in countries whose currencies are not f</w:t>
      </w:r>
      <w:r w:rsidRPr="0039314B">
        <w:t xml:space="preserve">ully convertible, </w:t>
      </w:r>
      <w:r w:rsidR="0039314B">
        <w:t>such as</w:t>
      </w:r>
      <w:r w:rsidRPr="0039314B">
        <w:t xml:space="preserve"> Argentina, Brazil, and Indonesia, have unhedged, intercompany loans nominated either in EUR or USD, which may result in some foreign exchange differences. The total amount of these loans is EUR </w:t>
      </w:r>
      <w:r>
        <w:t>66</w:t>
      </w:r>
      <w:r w:rsidRPr="0039314B">
        <w:t xml:space="preserve"> million (192).</w:t>
      </w:r>
    </w:p>
    <w:p w:rsidR="00232FC5" w:rsidRPr="0039314B" w:rsidP="000F07C1" w14:paraId="41B9B6FD" w14:textId="0CADDFCE">
      <w:pPr>
        <w:pStyle w:val="Bodytext2"/>
      </w:pPr>
    </w:p>
    <w:p w:rsidR="00232FC5" w:rsidRPr="00AA6CDC" w:rsidP="00AA6CDC" w14:paraId="056F97CA" w14:textId="5D3983B1">
      <w:pPr>
        <w:pStyle w:val="Bodytext2"/>
      </w:pPr>
      <w:r w:rsidRPr="00AA6CDC">
        <w:t>Wärtsilä does not</w:t>
      </w:r>
      <w:r w:rsidRPr="00AA6CDC">
        <w:t xml:space="preserve"> hedge translation risk. </w:t>
      </w:r>
      <w:r w:rsidRPr="00AA6CDC" w:rsidR="006025E7">
        <w:t>The most significant currencies</w:t>
      </w:r>
      <w:r w:rsidRPr="00AA6CDC" w:rsidR="00C06871">
        <w:t xml:space="preserve"> for Wärtsilä</w:t>
      </w:r>
      <w:r w:rsidRPr="00AA6CDC" w:rsidR="006025E7">
        <w:t xml:space="preserve"> are presented in Note 6.6. Exchange rates.</w:t>
      </w:r>
    </w:p>
    <w:p w:rsidR="000F07C1" w:rsidRPr="0039314B" w:rsidP="000F07C1" w14:paraId="7C505EDF" w14:textId="77777777">
      <w:pPr>
        <w:pStyle w:val="Bodytext2"/>
      </w:pPr>
    </w:p>
    <w:p w:rsidR="000F07C1" w:rsidRPr="0039314B" w:rsidP="000F07C1" w14:paraId="3254800E" w14:textId="77777777">
      <w:pPr>
        <w:pStyle w:val="Heading13"/>
      </w:pPr>
      <w:r w:rsidRPr="0039314B">
        <w:t>Interest rate risk</w:t>
      </w:r>
    </w:p>
    <w:p w:rsidR="000F07C1" w:rsidRPr="0039314B" w:rsidP="000F07C1" w14:paraId="6EC17A6A" w14:textId="3FA6D37F">
      <w:pPr>
        <w:pStyle w:val="Bodytext2"/>
      </w:pPr>
      <w:r w:rsidRPr="0039314B">
        <w:t>Wärtsilä is exposed to interest rate risk primarily through market value changes to the net debt portfolio (price risk)</w:t>
      </w:r>
      <w:r w:rsidR="0039314B">
        <w:t>, as well as</w:t>
      </w:r>
      <w:r w:rsidRPr="0039314B">
        <w:t xml:space="preserve"> through changes in interest rates (re-fixing on rollovers). Interest rate risk is managed by constantly monitoring the market value of the financial instruments and by using sensitivity analysis.</w:t>
      </w:r>
    </w:p>
    <w:p w:rsidR="000F07C1" w:rsidRPr="0039314B" w:rsidP="000F07C1" w14:paraId="0F8232D7" w14:textId="77777777">
      <w:pPr>
        <w:pStyle w:val="Bodytext2"/>
      </w:pPr>
    </w:p>
    <w:p w:rsidR="000F07C1" w:rsidRPr="0039314B" w:rsidP="000F07C1" w14:paraId="10E51F2D" w14:textId="14C62A62">
      <w:pPr>
        <w:pStyle w:val="Bodytext2"/>
      </w:pPr>
      <w:r w:rsidRPr="0039314B">
        <w:t>Interest-bearing loan capital at the end of 2020 t</w:t>
      </w:r>
      <w:r w:rsidRPr="0039314B">
        <w:t xml:space="preserve">otalled EUR </w:t>
      </w:r>
      <w:r>
        <w:t>1,161</w:t>
      </w:r>
      <w:r w:rsidRPr="0039314B">
        <w:t xml:space="preserve"> million (908). The average interest rate was </w:t>
      </w:r>
      <w:r>
        <w:t>0</w:t>
      </w:r>
      <w:r w:rsidRPr="0039314B">
        <w:t>.</w:t>
      </w:r>
      <w:r>
        <w:t>8</w:t>
      </w:r>
      <w:r w:rsidRPr="0039314B">
        <w:t xml:space="preserve">% (0.9) and the average re-fixing time </w:t>
      </w:r>
      <w:r>
        <w:t>13</w:t>
      </w:r>
      <w:r w:rsidRPr="0039314B">
        <w:t xml:space="preserve"> months (21).</w:t>
      </w:r>
    </w:p>
    <w:p w:rsidR="000F07C1" w:rsidRPr="0039314B" w:rsidP="000F07C1" w14:paraId="40E9B63F" w14:textId="77777777">
      <w:pPr>
        <w:pStyle w:val="Bodytext2"/>
      </w:pPr>
    </w:p>
    <w:p w:rsidR="000F07C1" w:rsidRPr="0039314B" w:rsidP="000F07C1" w14:paraId="610171DE" w14:textId="40A10E13">
      <w:pPr>
        <w:pStyle w:val="Bodytext2"/>
      </w:pPr>
      <w:r w:rsidRPr="0039314B">
        <w:t>Wärtsilä spreads its interest rate risk exposure by taking both fixed and floating rate loans. The share of fixed rate loans as a prop</w:t>
      </w:r>
      <w:r w:rsidRPr="0039314B">
        <w:t>ortion of the total debt can vary between 30</w:t>
      </w:r>
      <w:r w:rsidR="0039314B">
        <w:t xml:space="preserve"> and </w:t>
      </w:r>
      <w:r w:rsidRPr="0039314B">
        <w:t>70%. The Board of Directors has given authorisation to temporarily increase the share of fixed loans up to 100%, and the authorisation is valid until January 2022. Wärtsilä hedges its loan portfolio by using</w:t>
      </w:r>
      <w:r w:rsidRPr="0039314B">
        <w:t xml:space="preserve"> derivative instruments</w:t>
      </w:r>
      <w:r w:rsidR="0039314B">
        <w:t>,</w:t>
      </w:r>
      <w:r w:rsidRPr="0039314B">
        <w:t xml:space="preserve"> such as interest rate swaps, futures and options.</w:t>
      </w:r>
    </w:p>
    <w:p w:rsidR="000F07C1" w:rsidRPr="0039314B" w:rsidP="000F07C1" w14:paraId="0F7A2978" w14:textId="77777777">
      <w:pPr>
        <w:pStyle w:val="Bodytext2"/>
      </w:pPr>
    </w:p>
    <w:tbl>
      <w:tblPr>
        <w:tblStyle w:val="TableNormal"/>
        <w:tblCaption w:val="table_58_share_of_fixed_loan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213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610" w:type="dxa"/>
            <w:gridSpan w:val="5"/>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Fixed rate loans</w:t>
            </w:r>
          </w:p>
        </w:tc>
        <w:tc>
          <w:tcPr>
            <w:tcW w:w="870"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366</w:t>
            </w:r>
          </w:p>
        </w:tc>
        <w:tc>
          <w:tcPr>
            <w:tcW w:w="87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610" w:type="dxa"/>
            <w:gridSpan w:val="5"/>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Floating rate loans</w:t>
            </w:r>
          </w:p>
        </w:tc>
        <w:tc>
          <w:tcPr>
            <w:tcW w:w="87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796</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610" w:type="dxa"/>
            <w:gridSpan w:val="5"/>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87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424</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424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5610" w:type="dxa"/>
            <w:gridSpan w:val="5"/>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of fixed rate loans of total loans (including derivatives), %</w:t>
            </w:r>
          </w:p>
        </w:tc>
        <w:tc>
          <w:tcPr>
            <w:tcW w:w="870"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68</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91</w:t>
            </w:r>
          </w:p>
        </w:tc>
      </w:tr>
    </w:tbl>
    <w:p w:rsidR="000F07C1" w:rsidRPr="0039314B" w:rsidP="000F07C1" w14:paraId="70B1CFF8" w14:textId="77777777">
      <w:pPr>
        <w:pStyle w:val="Bodytext2"/>
      </w:pPr>
    </w:p>
    <w:p w:rsidR="000F07C1" w:rsidRPr="0039314B" w:rsidP="0000647E" w14:paraId="70844790" w14:textId="2898DC7C">
      <w:pPr>
        <w:pStyle w:val="Bodytext2"/>
      </w:pPr>
      <w:r w:rsidRPr="0039314B">
        <w:t xml:space="preserve">At the end of 2020, a one percentage point parallel decrease/increase of the yield curve would have resulted in a EUR </w:t>
      </w:r>
      <w:r>
        <w:t>26</w:t>
      </w:r>
      <w:r w:rsidRPr="0039314B">
        <w:t xml:space="preserve"> million (28) increase/d</w:t>
      </w:r>
      <w:r w:rsidRPr="0039314B">
        <w:t xml:space="preserve">ecrease in the value of the net debt portfolio, including derivatives. A one </w:t>
      </w:r>
      <w:r w:rsidRPr="0039314B">
        <w:t xml:space="preserve">percentage point change in the interest level would cause a EUR </w:t>
      </w:r>
      <w:r>
        <w:t>4</w:t>
      </w:r>
      <w:r w:rsidRPr="0039314B">
        <w:t xml:space="preserve"> million (1) change in the following year’s interest expenses </w:t>
      </w:r>
      <w:r w:rsidR="0039314B">
        <w:t>from</w:t>
      </w:r>
      <w:r w:rsidRPr="0039314B">
        <w:t xml:space="preserve"> the debt portfolio, including derivatives.</w:t>
      </w:r>
    </w:p>
    <w:p w:rsidR="0000647E" w:rsidRPr="0039314B" w:rsidP="0000647E" w14:paraId="311169F8" w14:textId="041B0C50">
      <w:pPr>
        <w:pStyle w:val="Bodytext2"/>
      </w:pPr>
    </w:p>
    <w:p w:rsidR="000F07C1" w:rsidRPr="00525C29" w:rsidP="0000647E" w14:paraId="1295D534" w14:textId="732B07A9">
      <w:pPr>
        <w:pStyle w:val="Bodytext2"/>
        <w:rPr>
          <w:sz w:val="2"/>
          <w:szCs w:val="2"/>
        </w:rPr>
      </w:pPr>
      <w:r w:rsidRPr="0039314B">
        <w:t>Add</w:t>
      </w:r>
      <w:r w:rsidRPr="0039314B">
        <w:t>itional information related to loans can be found in Note 5.2. Financial assets and liabilities by measurement category and Note 5.6. Maturity analysis of financial liabilities.</w:t>
      </w:r>
      <w:r w:rsidRPr="0039314B" w:rsidR="0000647E">
        <w:t xml:space="preserve"> </w:t>
      </w:r>
      <w:r w:rsidRPr="0039314B">
        <w:t xml:space="preserve">Information on interest rate derivatives is presented in Note 5.7. </w:t>
      </w:r>
      <w:r w:rsidRPr="0039314B">
        <w:t>Derivative financial instruments.</w:t>
      </w:r>
      <w:r>
        <w:br w:type="column"/>
      </w:r>
    </w:p>
    <w:p w:rsidR="000F07C1" w:rsidRPr="0039314B" w:rsidP="000F07C1" w14:paraId="1CCCCED5" w14:textId="77777777">
      <w:pPr>
        <w:pStyle w:val="Heading13"/>
      </w:pPr>
      <w:r w:rsidRPr="0039314B">
        <w:t>Liquidity and refinancing risk</w:t>
      </w:r>
    </w:p>
    <w:p w:rsidR="000F07C1" w:rsidP="000F07C1" w14:paraId="78278111" w14:textId="49159905">
      <w:pPr>
        <w:pStyle w:val="Bodytext2"/>
      </w:pPr>
      <w:r w:rsidRPr="0039314B">
        <w:t xml:space="preserve">Wärtsilä ensures sufficient liquidity at all times by efficient cash management and by maintaining sufficient </w:t>
      </w:r>
      <w:r w:rsidR="0039314B">
        <w:t xml:space="preserve">available </w:t>
      </w:r>
      <w:r w:rsidRPr="0039314B">
        <w:t>committed and uncommitted credit lines. Refinancing risk is managed by</w:t>
      </w:r>
      <w:r w:rsidRPr="0039314B">
        <w:t xml:space="preserve"> having a balanced and sufficiently long loan portfolio.</w:t>
      </w:r>
    </w:p>
    <w:p w:rsidR="002834B3" w:rsidP="000F07C1" w14:paraId="5C9C3194" w14:textId="6F26CFA8">
      <w:pPr>
        <w:pStyle w:val="Bodytext2"/>
      </w:pPr>
    </w:p>
    <w:p w:rsidR="002834B3" w:rsidRPr="0039314B" w:rsidP="002834B3" w14:paraId="3EF95884" w14:textId="25CD3539">
      <w:pPr>
        <w:pStyle w:val="Bodytext2"/>
      </w:pPr>
      <w:r>
        <w:t>Due to the COVID-19 pandemic, the liquidity reserves of the Group have been</w:t>
      </w:r>
      <w:r w:rsidRPr="002834B3">
        <w:t xml:space="preserve"> </w:t>
      </w:r>
      <w:r>
        <w:t xml:space="preserve">strengthened. The Revolving Credit Facilities (RCF) having maturity dates in 2020 were extended until the end of </w:t>
      </w:r>
      <w:r>
        <w:t xml:space="preserve">2021, and their total amount was increased by EUR 20 million. The total amount of available RCFs, EUR 660 million, is fully un-utilised. Other COVID-19 related funding arrangements resulted in disbursement of new long-term loans totalling EUR 190 million. </w:t>
      </w:r>
      <w:r>
        <w:t>As of 31 December 2020, the Group’s liquidity reserves were at high level and the liquidity position is expected to remain strong during 2021.</w:t>
      </w:r>
    </w:p>
    <w:p w:rsidR="000F07C1" w:rsidRPr="0039314B" w:rsidP="000F07C1" w14:paraId="1E8F5227" w14:textId="77777777">
      <w:pPr>
        <w:pStyle w:val="Bodytext2"/>
      </w:pPr>
    </w:p>
    <w:p w:rsidR="000F07C1" w:rsidRPr="0039314B" w:rsidP="000F07C1" w14:paraId="7B4F6813" w14:textId="77777777">
      <w:pPr>
        <w:pStyle w:val="Bodytext2"/>
      </w:pPr>
      <w:r w:rsidRPr="0039314B">
        <w:t>The existing loan facilities include:</w:t>
      </w:r>
    </w:p>
    <w:p w:rsidR="000F07C1" w:rsidRPr="0039314B" w:rsidP="000F07C1" w14:paraId="30588CCD" w14:textId="6E55AF5D">
      <w:pPr>
        <w:pStyle w:val="Bodytext2"/>
      </w:pPr>
      <w:r w:rsidRPr="0039314B">
        <w:t xml:space="preserve">• Committed Revolving Credit Facilities totalling EUR </w:t>
      </w:r>
      <w:r>
        <w:t>660</w:t>
      </w:r>
      <w:r w:rsidRPr="0039314B">
        <w:t xml:space="preserve"> million (640).</w:t>
      </w:r>
    </w:p>
    <w:p w:rsidR="000F07C1" w:rsidRPr="0039314B" w:rsidP="000F07C1" w14:paraId="501E5D87" w14:textId="4621687E">
      <w:pPr>
        <w:pStyle w:val="Bodytext2"/>
      </w:pPr>
      <w:r w:rsidRPr="0039314B">
        <w:t>•</w:t>
      </w:r>
      <w:r w:rsidRPr="0039314B">
        <w:t xml:space="preserve"> Finnish Commercial Paper programmes totalling EUR </w:t>
      </w:r>
      <w:r>
        <w:t>850</w:t>
      </w:r>
      <w:r w:rsidRPr="0039314B">
        <w:t xml:space="preserve"> million (800).</w:t>
      </w:r>
    </w:p>
    <w:p w:rsidR="000F07C1" w:rsidRPr="0039314B" w:rsidP="000F07C1" w14:paraId="37F6E1B4" w14:textId="77777777">
      <w:pPr>
        <w:pStyle w:val="Bodytext2"/>
      </w:pPr>
    </w:p>
    <w:p w:rsidR="000F07C1" w:rsidRPr="0039314B" w:rsidP="000F07C1" w14:paraId="153D922E" w14:textId="3604D7BB">
      <w:pPr>
        <w:pStyle w:val="Bodytext2"/>
      </w:pPr>
      <w:r w:rsidRPr="0039314B">
        <w:t xml:space="preserve">The average maturity of the non-current debt is </w:t>
      </w:r>
      <w:r>
        <w:t>36</w:t>
      </w:r>
      <w:r w:rsidRPr="0039314B">
        <w:t xml:space="preserve"> months (4</w:t>
      </w:r>
      <w:r>
        <w:t>6</w:t>
      </w:r>
      <w:r w:rsidRPr="0039314B">
        <w:t xml:space="preserve">) and the average maturity of the confirmed credit lines is </w:t>
      </w:r>
      <w:r>
        <w:t>21</w:t>
      </w:r>
      <w:r w:rsidRPr="0039314B">
        <w:t xml:space="preserve"> months (3</w:t>
      </w:r>
      <w:r>
        <w:t>0</w:t>
      </w:r>
      <w:r w:rsidRPr="0039314B">
        <w:t>). Additional information in Note 5.6. Maturity ana</w:t>
      </w:r>
      <w:r w:rsidRPr="0039314B">
        <w:t>lysis of financial liabilities.</w:t>
      </w:r>
    </w:p>
    <w:p w:rsidR="000F07C1" w:rsidRPr="0039314B" w:rsidP="000F07C1" w14:paraId="761DB5BD" w14:textId="77777777">
      <w:pPr>
        <w:pStyle w:val="Bodytext2"/>
      </w:pPr>
    </w:p>
    <w:p w:rsidR="000F07C1" w:rsidRPr="0039314B" w:rsidP="000F07C1" w14:paraId="6CD21B5A" w14:textId="4A8701B0">
      <w:pPr>
        <w:pStyle w:val="Bodytext2"/>
      </w:pPr>
      <w:r w:rsidRPr="0039314B">
        <w:t xml:space="preserve">At year-end, the Group had cash and cash equivalents totalling EUR </w:t>
      </w:r>
      <w:r>
        <w:t>932</w:t>
      </w:r>
      <w:r w:rsidRPr="0039314B">
        <w:t xml:space="preserve"> million (369), of which EUR </w:t>
      </w:r>
      <w:r>
        <w:t>14</w:t>
      </w:r>
      <w:r w:rsidRPr="0039314B">
        <w:t xml:space="preserve"> million (11) is related to assets held for sale, as well as EUR </w:t>
      </w:r>
      <w:r>
        <w:t>660</w:t>
      </w:r>
      <w:r w:rsidRPr="0039314B">
        <w:t xml:space="preserve"> million (640) </w:t>
      </w:r>
      <w:r w:rsidR="0039314B">
        <w:t xml:space="preserve">of </w:t>
      </w:r>
      <w:r w:rsidRPr="0039314B">
        <w:t>non-utilised committed credit facili</w:t>
      </w:r>
      <w:r w:rsidRPr="0039314B">
        <w:t>ties. Commercial Paper Programmes were not utilised on 31 December 2020 nor on 31 December 2019.</w:t>
      </w:r>
    </w:p>
    <w:p w:rsidR="000F07C1" w:rsidRPr="0039314B" w:rsidP="000F07C1" w14:paraId="53704A19" w14:textId="77777777">
      <w:pPr>
        <w:pStyle w:val="Bodytext2"/>
      </w:pPr>
    </w:p>
    <w:p w:rsidR="000F07C1" w:rsidRPr="0039314B" w:rsidP="000F07C1" w14:paraId="15D78B68" w14:textId="3BD61E7E">
      <w:pPr>
        <w:pStyle w:val="Bodytext2"/>
      </w:pPr>
      <w:r w:rsidRPr="0039314B">
        <w:t>Committed Revolving Credit Facilities</w:t>
      </w:r>
      <w:r w:rsidR="0039314B">
        <w:t>,</w:t>
      </w:r>
      <w:r w:rsidRPr="0039314B">
        <w:t xml:space="preserve"> as well as the parent company's long-term loans</w:t>
      </w:r>
      <w:r>
        <w:t>,</w:t>
      </w:r>
      <w:r w:rsidRPr="0039314B">
        <w:t xml:space="preserve"> include a financial covenant (solvency ratio). </w:t>
      </w:r>
      <w:r w:rsidR="0039314B">
        <w:t>The s</w:t>
      </w:r>
      <w:r w:rsidRPr="0039314B">
        <w:t>olvency ratio is e</w:t>
      </w:r>
      <w:r w:rsidRPr="0039314B">
        <w:t>xpected to remain clearly over the covenant level for the foreseeable future.</w:t>
      </w:r>
    </w:p>
    <w:p w:rsidR="000F07C1" w:rsidRPr="0039314B" w:rsidP="000F07C1" w14:paraId="090BE4F5" w14:textId="77777777">
      <w:pPr>
        <w:pStyle w:val="Bodytext2"/>
      </w:pPr>
    </w:p>
    <w:p w:rsidR="000F07C1" w:rsidRPr="0039314B" w:rsidP="000F07C1" w14:paraId="285B4C1E" w14:textId="77777777">
      <w:pPr>
        <w:pStyle w:val="Heading13"/>
      </w:pPr>
      <w:r w:rsidRPr="0039314B">
        <w:t>Revolving credit facilities</w:t>
      </w:r>
    </w:p>
    <w:p w:rsidR="000F07C1" w:rsidRPr="0039314B" w:rsidP="000F07C1" w14:paraId="5183EED1" w14:textId="77777777">
      <w:pPr>
        <w:pStyle w:val="Bodytext2"/>
      </w:pPr>
    </w:p>
    <w:tbl>
      <w:tblPr>
        <w:tblStyle w:val="TableNormal"/>
        <w:tblCaption w:val="table_58_revolving"/>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hRule="exact" w:val="240"/>
        </w:trPr>
        <w:tc>
          <w:tcPr>
            <w:tcW w:w="2130" w:type="dxa"/>
            <w:tcBorders>
              <w:top w:val="nil"/>
              <w:left w:val="nil"/>
              <w:bottom w:val="nil"/>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nil"/>
              <w:left w:val="nil"/>
              <w:bottom w:val="nil"/>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87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nil"/>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Year</w:t>
            </w: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Maturing</w:t>
            </w:r>
          </w:p>
        </w:tc>
        <w:tc>
          <w:tcPr>
            <w:tcW w:w="870" w:type="dxa"/>
            <w:tcBorders>
              <w:top w:val="nil"/>
              <w:left w:val="nil"/>
              <w:bottom w:val="single" w:sz="8" w:space="0" w:color="0F172B"/>
              <w:right w:val="nil"/>
              <w:tl2br w:val="nil"/>
              <w:tr2bl w:val="nil"/>
            </w:tcBorders>
            <w:shd w:val="clear" w:color="FFFFFF" w:fill="E7E7E7"/>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Available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(end of</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period)</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Maturing</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Available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(end of</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period)</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2019</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t>
            </w:r>
          </w:p>
        </w:tc>
        <w:tc>
          <w:tcPr>
            <w:tcW w:w="870" w:type="dxa"/>
            <w:tcBorders>
              <w:top w:val="single" w:sz="8" w:space="0" w:color="0F172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t>
            </w:r>
          </w:p>
        </w:tc>
        <w:tc>
          <w:tcPr>
            <w:tcW w:w="87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640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2020</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660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2021</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280</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2022</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2023</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160</w:t>
            </w: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160</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2024</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7E7E7"/>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130</w:t>
            </w:r>
          </w:p>
        </w:tc>
        <w:tc>
          <w:tcPr>
            <w:tcW w:w="870" w:type="dxa"/>
            <w:tcBorders>
              <w:top w:val="single" w:sz="4" w:space="0" w:color="004A6B"/>
              <w:left w:val="nil"/>
              <w:bottom w:val="single" w:sz="4" w:space="0" w:color="004A6B"/>
              <w:right w:val="nil"/>
              <w:tl2br w:val="nil"/>
              <w:tr2bl w:val="nil"/>
            </w:tcBorders>
            <w:shd w:val="clear" w:color="FFFFFF" w:fill="E7E7E7"/>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bl>
    <w:p w:rsidR="000F07C1" w:rsidRPr="006E04CA" w:rsidP="000F07C1" w14:paraId="4D6DB28C" w14:textId="661DF969">
      <w:pPr>
        <w:pStyle w:val="Bodytext2"/>
        <w:rPr>
          <w:sz w:val="2"/>
          <w:szCs w:val="2"/>
        </w:rPr>
      </w:pPr>
      <w:r>
        <w:br w:type="column"/>
      </w:r>
    </w:p>
    <w:p w:rsidR="000F07C1" w:rsidRPr="0039314B" w:rsidP="000F07C1" w14:paraId="142EEB47" w14:textId="77777777">
      <w:pPr>
        <w:pStyle w:val="Heading13"/>
      </w:pPr>
      <w:r w:rsidRPr="0039314B">
        <w:t>Credit risk</w:t>
      </w:r>
    </w:p>
    <w:p w:rsidR="000F07C1" w:rsidRPr="0039314B" w:rsidP="000F07C1" w14:paraId="6704B1D9" w14:textId="57D9C47D">
      <w:pPr>
        <w:pStyle w:val="Bodytext2"/>
      </w:pPr>
      <w:r>
        <w:t>R</w:t>
      </w:r>
      <w:r w:rsidRPr="0039314B" w:rsidR="0015012F">
        <w:t>esponsibility for managing the credit risks associated with ordinary commercial activities lies with the Businesses and the Group companies. Major trade and project finance credit risks are minimised by transferring risks to banks, insurance companies</w:t>
      </w:r>
      <w:r>
        <w:t>,</w:t>
      </w:r>
      <w:r w:rsidRPr="0039314B" w:rsidR="0015012F">
        <w:t xml:space="preserve"> and export credit organisations.</w:t>
      </w:r>
    </w:p>
    <w:p w:rsidR="000F07C1" w:rsidRPr="0039314B" w:rsidP="000F07C1" w14:paraId="3A27AE5F" w14:textId="77777777">
      <w:pPr>
        <w:pStyle w:val="Bodytext2"/>
      </w:pPr>
    </w:p>
    <w:p w:rsidR="000F07C1" w:rsidRPr="0039314B" w:rsidP="000F07C1" w14:paraId="1F593281" w14:textId="127547FB">
      <w:pPr>
        <w:pStyle w:val="Bodytext2"/>
      </w:pPr>
      <w:r w:rsidRPr="0039314B">
        <w:t>The credit risks related to the placement of liquid funds and to trading in fin</w:t>
      </w:r>
      <w:r w:rsidRPr="0039314B">
        <w:t>ancial instruments are minimised by setting explicit limits for the counterparties</w:t>
      </w:r>
      <w:r w:rsidR="0039314B">
        <w:t>,</w:t>
      </w:r>
      <w:r w:rsidRPr="0039314B">
        <w:t xml:space="preserve"> and by making agreements only with the most reputable domestic and international banks and financial institutions. As only high credit quality (A- minimum rating requiremen</w:t>
      </w:r>
      <w:r w:rsidRPr="0039314B">
        <w:t>t) counterparties are utilised for derivative financial instruments</w:t>
      </w:r>
      <w:r w:rsidR="0039314B">
        <w:t>,</w:t>
      </w:r>
      <w:r w:rsidRPr="0039314B">
        <w:t xml:space="preserve"> and the transactions are </w:t>
      </w:r>
      <w:r w:rsidR="0039314B">
        <w:t>made</w:t>
      </w:r>
      <w:r w:rsidRPr="0039314B">
        <w:t xml:space="preserve"> under ISDA Master Agreements, no credit losses are expected from these instruments.</w:t>
      </w:r>
    </w:p>
    <w:p w:rsidR="000F07C1" w:rsidRPr="0039314B" w:rsidP="000F07C1" w14:paraId="3BF336FC" w14:textId="77777777">
      <w:pPr>
        <w:pStyle w:val="Bodytext2"/>
      </w:pPr>
    </w:p>
    <w:p w:rsidR="000F07C1" w:rsidRPr="0039314B" w:rsidP="000F07C1" w14:paraId="7C913D41" w14:textId="77777777">
      <w:pPr>
        <w:pStyle w:val="Bodytext2"/>
      </w:pPr>
      <w:r w:rsidRPr="0039314B">
        <w:t>The Group companies deposit the maximum amount of their liquid financial</w:t>
      </w:r>
      <w:r w:rsidRPr="0039314B">
        <w:t xml:space="preserve"> assets with the centralised treasury when local laws and central bank regulations allow it. The Group’s funds are placed in instruments with sufficient liquidity (current bank deposits or Finnish Commercial Papers) and rating (at least single-A rated inst</w:t>
      </w:r>
      <w:r w:rsidRPr="0039314B">
        <w:t>ruments or other instruments approved by the Group’s CFO). These placements are constantly monitored by the Group Treasury, and Wärtsilä does not expect any future defaults from the placements.</w:t>
      </w:r>
    </w:p>
    <w:p w:rsidR="000F07C1" w:rsidRPr="0039314B" w:rsidP="000F07C1" w14:paraId="6AE7F367" w14:textId="77777777">
      <w:pPr>
        <w:pStyle w:val="Bodytext2"/>
      </w:pPr>
    </w:p>
    <w:p w:rsidR="000F07C1" w:rsidRPr="0039314B" w:rsidP="000F07C1" w14:paraId="5F719BF2" w14:textId="6CD8F6E2">
      <w:pPr>
        <w:pStyle w:val="Bodytext2"/>
      </w:pPr>
      <w:r w:rsidRPr="0039314B">
        <w:t>The expected credit losses associated with investments carrie</w:t>
      </w:r>
      <w:r w:rsidRPr="0039314B">
        <w:t>d at amortised cost are assessed on a forward-looking basis based on investment maturity dates</w:t>
      </w:r>
      <w:r w:rsidR="0039314B">
        <w:t>,</w:t>
      </w:r>
      <w:r w:rsidRPr="0039314B">
        <w:t xml:space="preserve"> and counterparty credit risk on </w:t>
      </w:r>
      <w:r w:rsidR="0039314B">
        <w:t xml:space="preserve">a </w:t>
      </w:r>
      <w:r w:rsidRPr="0039314B">
        <w:t>quarterly basis. As of 31 December 2020, the expected credit loss was not material.</w:t>
      </w:r>
    </w:p>
    <w:p w:rsidR="000F07C1" w:rsidRPr="0039314B" w:rsidP="000F07C1" w14:paraId="2478718D" w14:textId="77777777">
      <w:pPr>
        <w:pStyle w:val="Bodytext2"/>
      </w:pPr>
    </w:p>
    <w:p w:rsidR="000F07C1" w:rsidRPr="0039314B" w:rsidP="000F07C1" w14:paraId="3BA8F182" w14:textId="75770A6C">
      <w:pPr>
        <w:pStyle w:val="Bodytext2"/>
      </w:pPr>
      <w:r w:rsidRPr="0039314B">
        <w:t xml:space="preserve">The expected credit losses are presented </w:t>
      </w:r>
      <w:r w:rsidRPr="0039314B">
        <w:t>in Note 4.</w:t>
      </w:r>
      <w:r>
        <w:t>2</w:t>
      </w:r>
      <w:r w:rsidRPr="0039314B">
        <w:t>.</w:t>
      </w:r>
      <w:r>
        <w:t xml:space="preserve"> Trade receivables and contract assets and liabilities</w:t>
      </w:r>
      <w:r w:rsidRPr="0039314B">
        <w:t>.</w:t>
      </w:r>
    </w:p>
    <w:p w:rsidR="000F07C1" w:rsidRPr="0039314B" w:rsidP="000F07C1" w14:paraId="5B45E669" w14:textId="77777777">
      <w:pPr>
        <w:pStyle w:val="Bodytext2"/>
      </w:pPr>
    </w:p>
    <w:p w:rsidR="000F07C1" w:rsidRPr="0039314B" w:rsidP="000F07C1" w14:paraId="23A53059" w14:textId="77777777">
      <w:pPr>
        <w:pStyle w:val="Heading13"/>
      </w:pPr>
      <w:r w:rsidRPr="0039314B">
        <w:t>Equity price risk</w:t>
      </w:r>
    </w:p>
    <w:p w:rsidR="000F07C1" w:rsidRPr="0039314B" w:rsidP="000F07C1" w14:paraId="133C96E2" w14:textId="4C3CF0A5">
      <w:pPr>
        <w:pStyle w:val="Bodytext2"/>
      </w:pPr>
      <w:r w:rsidRPr="0039314B">
        <w:t xml:space="preserve">Wärtsilä has equity investments totalling EUR </w:t>
      </w:r>
      <w:r w:rsidR="00397AA5">
        <w:t>12</w:t>
      </w:r>
      <w:r w:rsidRPr="0039314B">
        <w:t xml:space="preserve"> million (14) in power plant companies, most of which are located in developing countries and performing well according to expectations. Additional information </w:t>
      </w:r>
      <w:r w:rsidR="0039314B">
        <w:t xml:space="preserve">is given </w:t>
      </w:r>
      <w:r w:rsidRPr="0039314B">
        <w:t>in Note 5.2. Financial assets and liabilities by measurement category.</w:t>
      </w:r>
    </w:p>
    <w:p w:rsidR="000F07C1" w:rsidRPr="0039314B" w:rsidP="000F07C1" w14:paraId="167519B2" w14:textId="77777777">
      <w:pPr>
        <w:pStyle w:val="Bodytext2"/>
      </w:pPr>
    </w:p>
    <w:p w:rsidR="000F07C1" w:rsidRPr="0039314B" w:rsidP="000F07C1" w14:paraId="256780FB" w14:textId="77777777">
      <w:pPr>
        <w:pStyle w:val="Heading13"/>
      </w:pPr>
      <w:r w:rsidRPr="0039314B">
        <w:t>Capital risk ma</w:t>
      </w:r>
      <w:r w:rsidRPr="0039314B">
        <w:t>nagement</w:t>
      </w:r>
    </w:p>
    <w:p w:rsidR="000F07C1" w:rsidRPr="00F82C1B" w:rsidP="000F07C1" w14:paraId="0ECBE352" w14:textId="26CFE53B">
      <w:pPr>
        <w:pStyle w:val="Bodytext2"/>
        <w:rPr>
          <w:sz w:val="2"/>
          <w:szCs w:val="2"/>
        </w:rPr>
      </w:pPr>
      <w:r w:rsidRPr="0039314B">
        <w:t>Wärtsilä’s policy is to secure a strong capital base</w:t>
      </w:r>
      <w:r w:rsidR="0039314B">
        <w:t>, both to maintain</w:t>
      </w:r>
      <w:r w:rsidRPr="0039314B">
        <w:t xml:space="preserve"> the confidence of investors and creditors and for the future development of the business. The capital is defined as total equity</w:t>
      </w:r>
      <w:r w:rsidR="0039314B">
        <w:t>,</w:t>
      </w:r>
      <w:r w:rsidRPr="0039314B">
        <w:t xml:space="preserve"> including non-controlling interests and net in</w:t>
      </w:r>
      <w:r w:rsidRPr="0039314B">
        <w:t>terest-bearing debt. The target for Wärtsilä is to maintain gearing below 0.50 and to pay a dividend of at least 50% of earnings over the cycle.</w:t>
      </w:r>
      <w:r>
        <w:br w:type="column"/>
      </w:r>
    </w:p>
    <w:tbl>
      <w:tblPr>
        <w:tblStyle w:val="TableNormal"/>
        <w:tblCaption w:val="table_58_capital_risk_managements"/>
        <w:tblW w:w="7350" w:type="dxa"/>
        <w:tblLayout w:type="fixed"/>
        <w:tblLook w:val="0600"/>
      </w:tblPr>
      <w:tblGrid>
        <w:gridCol w:w="2130"/>
        <w:gridCol w:w="870"/>
        <w:gridCol w:w="870"/>
        <w:gridCol w:w="870"/>
        <w:gridCol w:w="870"/>
        <w:gridCol w:w="870"/>
        <w:gridCol w:w="870"/>
      </w:tblGrid>
      <w:tr>
        <w:tblPrEx>
          <w:tblW w:w="7350" w:type="dxa"/>
          <w:tblLayout w:type="fixed"/>
          <w:tblLook w:val="0600"/>
        </w:tblPrEx>
        <w:trPr>
          <w:trHeight w:val="240"/>
        </w:trPr>
        <w:tc>
          <w:tcPr>
            <w:tcW w:w="4740" w:type="dxa"/>
            <w:gridSpan w:val="4"/>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8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non-current</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1,005</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 liabilities, non-current</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124</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current</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156</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 liabilities, current</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interest-bearing liabilities</w:t>
            </w: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1,327</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1,096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receivables</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-919</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 pertaining to assets held for sale</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interest-bearing assets</w:t>
            </w:r>
          </w:p>
        </w:tc>
        <w:tc>
          <w:tcPr>
            <w:tcW w:w="87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-933</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net interest-bearing debt</w:t>
            </w:r>
          </w:p>
        </w:tc>
        <w:tc>
          <w:tcPr>
            <w:tcW w:w="87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394</w:t>
            </w:r>
          </w:p>
        </w:tc>
        <w:tc>
          <w:tcPr>
            <w:tcW w:w="87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Total equity</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2,188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2,410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Gearing</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0.18</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0.30</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 the capital management Wärtsilä also follows the gearing development:</w:t>
            </w: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13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Equity and liabilities</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6,232</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6,398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Advances received</w:t>
            </w:r>
          </w:p>
        </w:tc>
        <w:tc>
          <w:tcPr>
            <w:tcW w:w="87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-452</w:t>
            </w:r>
          </w:p>
        </w:tc>
        <w:tc>
          <w:tcPr>
            <w:tcW w:w="87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5,780</w:t>
            </w:r>
          </w:p>
        </w:tc>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5,946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13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740" w:type="dxa"/>
            <w:gridSpan w:val="4"/>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Solvency ratio, %</w:t>
            </w:r>
          </w:p>
        </w:tc>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7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38.1</w:t>
            </w:r>
          </w:p>
        </w:tc>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40.8</w:t>
            </w:r>
          </w:p>
        </w:tc>
      </w:tr>
    </w:tbl>
    <w:p w:rsidR="000F07C1" w:rsidRPr="00CB4B31" w:rsidP="000F07C1" w14:paraId="483BF7BB" w14:textId="58F9A8A0">
      <w:pPr>
        <w:pStyle w:val="Bodytext2"/>
        <w:rPr>
          <w:sz w:val="2"/>
          <w:szCs w:val="2"/>
        </w:rPr>
      </w:pPr>
      <w:r>
        <w:br w:type="column"/>
      </w:r>
    </w:p>
    <w:p w:rsidR="00967DC8" w:rsidRPr="00967DC8" w:rsidP="00967DC8" w14:paraId="6C45B025" w14:textId="77777777">
      <w:pPr>
        <w:pStyle w:val="Heading11"/>
      </w:pPr>
      <w:bookmarkStart w:id="1189" w:name="RG_MARKER_4162"/>
      <w:bookmarkStart w:id="1190" w:name="RG_MARKER_3738"/>
      <w:r w:rsidRPr="00967DC8">
        <w:t>6. GROUP STRUCTURE</w:t>
      </w:r>
      <w:bookmarkEnd w:id="1190"/>
      <w:bookmarkEnd w:id="1189"/>
    </w:p>
    <w:p w:rsidR="005967F1" w:rsidP="00967DC8" w14:paraId="6F1840D3" w14:textId="73F23FBA">
      <w:pPr>
        <w:pStyle w:val="Heading12"/>
      </w:pPr>
      <w:r>
        <w:t>6.1. ACQUISITIONS</w:t>
      </w:r>
    </w:p>
    <w:tbl>
      <w:tblPr>
        <w:tblStyle w:val="TableGrid0"/>
        <w:tblW w:w="7371" w:type="dxa"/>
        <w:tblInd w:w="5" w:type="dxa"/>
        <w:tblLook w:val="04A0"/>
      </w:tblPr>
      <w:tblGrid>
        <w:gridCol w:w="7371"/>
      </w:tblGrid>
      <w:tr w14:paraId="42D5FAF1" w14:textId="77777777" w:rsidTr="005967F1">
        <w:tblPrEx>
          <w:tblW w:w="7371" w:type="dxa"/>
          <w:tblInd w:w="5" w:type="dxa"/>
          <w:tblLook w:val="04A0"/>
        </w:tblPrEx>
        <w:tc>
          <w:tcPr>
            <w:tcW w:w="7361" w:type="dxa"/>
            <w:shd w:val="clear" w:color="auto" w:fill="B6C8D1"/>
          </w:tcPr>
          <w:p w:rsidR="005967F1" w:rsidRPr="000024BE" w:rsidP="005967F1" w14:paraId="107BCEC0" w14:textId="77777777">
            <w:pPr>
              <w:pStyle w:val="Heading13"/>
              <w:rPr>
                <w:lang w:val="en-GB"/>
              </w:rPr>
            </w:pPr>
            <w:r w:rsidRPr="000024BE">
              <w:rPr>
                <w:lang w:val="en-GB"/>
              </w:rPr>
              <w:t>Accounting principles</w:t>
            </w:r>
          </w:p>
          <w:p w:rsidR="003877A7" w:rsidRPr="000024BE" w:rsidP="003877A7" w14:paraId="08B80032" w14:textId="6512B812">
            <w:pPr>
              <w:pStyle w:val="Bodytext2"/>
              <w:rPr>
                <w:lang w:val="en-GB"/>
              </w:rPr>
            </w:pPr>
            <w:r w:rsidRPr="000024BE">
              <w:rPr>
                <w:lang w:val="en-GB"/>
              </w:rPr>
              <w:t>Acquired and established companies are accounted for using the acquisition method. Accordingly, the purchase price and the acquired company’s identifiable assets, liabilities</w:t>
            </w:r>
            <w:r>
              <w:rPr>
                <w:lang w:val="en-GB"/>
              </w:rPr>
              <w:t>,</w:t>
            </w:r>
            <w:r w:rsidRPr="000024BE">
              <w:rPr>
                <w:lang w:val="en-GB"/>
              </w:rPr>
              <w:t xml:space="preserve"> and </w:t>
            </w:r>
            <w:r w:rsidRPr="000024BE">
              <w:rPr>
                <w:lang w:val="en-GB"/>
              </w:rPr>
              <w:t>contingent liabilities are measured at fair value on the date of acquisition. In the acquisition of additional interest, where the Group already has control, the non-controlling interest is measured either at fair value or at the non-controlling interests’</w:t>
            </w:r>
            <w:r w:rsidRPr="000024BE">
              <w:rPr>
                <w:lang w:val="en-GB"/>
              </w:rPr>
              <w:t xml:space="preserve"> proportionate share of the identifiable net assets. The difference between the purchase price, possible equity belonging to the non-controlling interests</w:t>
            </w:r>
            <w:r>
              <w:rPr>
                <w:lang w:val="en-GB"/>
              </w:rPr>
              <w:t>,</w:t>
            </w:r>
            <w:r w:rsidRPr="000024BE">
              <w:rPr>
                <w:lang w:val="en-GB"/>
              </w:rPr>
              <w:t xml:space="preserve"> and the acquired company’s net identifiable assets, liabilities and contingent liabilities measured </w:t>
            </w:r>
            <w:r w:rsidRPr="000024BE">
              <w:rPr>
                <w:lang w:val="en-GB"/>
              </w:rPr>
              <w:t>at fair value</w:t>
            </w:r>
            <w:r>
              <w:rPr>
                <w:lang w:val="en-GB"/>
              </w:rPr>
              <w:t>,</w:t>
            </w:r>
            <w:r w:rsidRPr="000024BE">
              <w:rPr>
                <w:lang w:val="en-GB"/>
              </w:rPr>
              <w:t xml:space="preserve"> is goodwill. Goodwill is tested for impairment at least annually. The purchase price includes the consideration paid, measured at fair value. The consideration does not include transaction costs, which are recognised in the statement of inco</w:t>
            </w:r>
            <w:r w:rsidRPr="000024BE">
              <w:rPr>
                <w:lang w:val="en-GB"/>
              </w:rPr>
              <w:t xml:space="preserve">me. The transaction costs are expensed in the same </w:t>
            </w:r>
            <w:r>
              <w:rPr>
                <w:lang w:val="en-GB"/>
              </w:rPr>
              <w:t>reporting</w:t>
            </w:r>
            <w:r w:rsidRPr="000024BE">
              <w:rPr>
                <w:lang w:val="en-GB"/>
              </w:rPr>
              <w:t xml:space="preserve"> period in which they occur, except th</w:t>
            </w:r>
            <w:r>
              <w:rPr>
                <w:lang w:val="en-GB"/>
              </w:rPr>
              <w:t>os</w:t>
            </w:r>
            <w:r w:rsidRPr="000024BE">
              <w:rPr>
                <w:lang w:val="en-GB"/>
              </w:rPr>
              <w:t>e costs resulting from issued debt or equity instruments.</w:t>
            </w:r>
          </w:p>
          <w:p w:rsidR="003877A7" w:rsidRPr="000024BE" w:rsidP="003877A7" w14:paraId="6B802AD4" w14:textId="77777777">
            <w:pPr>
              <w:pStyle w:val="Bodytext2"/>
              <w:rPr>
                <w:lang w:val="en-GB"/>
              </w:rPr>
            </w:pPr>
          </w:p>
          <w:p w:rsidR="005967F1" w:rsidRPr="000024BE" w:rsidP="005967F1" w14:paraId="78B74508" w14:textId="31F45932">
            <w:pPr>
              <w:pStyle w:val="Bodytext2"/>
              <w:rPr>
                <w:lang w:val="en-GB"/>
              </w:rPr>
            </w:pPr>
            <w:r w:rsidRPr="000024BE">
              <w:rPr>
                <w:lang w:val="en-GB"/>
              </w:rPr>
              <w:t>In significant business combinations, the Group has used external advis</w:t>
            </w:r>
            <w:r>
              <w:rPr>
                <w:lang w:val="en-GB"/>
              </w:rPr>
              <w:t>o</w:t>
            </w:r>
            <w:r w:rsidRPr="000024BE">
              <w:rPr>
                <w:lang w:val="en-GB"/>
              </w:rPr>
              <w:t>rs when estimating the fa</w:t>
            </w:r>
            <w:r w:rsidRPr="000024BE">
              <w:rPr>
                <w:lang w:val="en-GB"/>
              </w:rPr>
              <w:t>ir values of property, plant and equipment and intangible assets. For property, plant and equipment, comparisons have been made of the market prices of similar assets, and the depreciation of the acquired assets due to ageing, wear, and other similar facto</w:t>
            </w:r>
            <w:r w:rsidRPr="000024BE">
              <w:rPr>
                <w:lang w:val="en-GB"/>
              </w:rPr>
              <w:t xml:space="preserve">rs has been estimated. The fair value measurement of intangible assets is based on estimates of the future cash flows associated with the assets. The acquired identifiable intangible assets typically </w:t>
            </w:r>
            <w:r>
              <w:rPr>
                <w:lang w:val="en-GB"/>
              </w:rPr>
              <w:t xml:space="preserve">include </w:t>
            </w:r>
            <w:r w:rsidRPr="000024BE">
              <w:rPr>
                <w:lang w:val="en-GB"/>
              </w:rPr>
              <w:t>technology, customer relationships, and trademar</w:t>
            </w:r>
            <w:r w:rsidRPr="000024BE">
              <w:rPr>
                <w:lang w:val="en-GB"/>
              </w:rPr>
              <w:t>ks.</w:t>
            </w:r>
          </w:p>
          <w:p w:rsidR="003877A7" w:rsidRPr="000024BE" w:rsidP="005967F1" w14:paraId="79F4B2BB" w14:textId="77777777">
            <w:pPr>
              <w:pStyle w:val="Bodytext2"/>
              <w:rPr>
                <w:lang w:val="en-GB"/>
              </w:rPr>
            </w:pPr>
          </w:p>
          <w:p w:rsidR="002E6E71" w:rsidRPr="000024BE" w:rsidP="002E6E71" w14:paraId="072017D8" w14:textId="295EB24F">
            <w:pPr>
              <w:pStyle w:val="Bodytext2"/>
              <w:rPr>
                <w:lang w:val="en-GB"/>
              </w:rPr>
            </w:pPr>
            <w:r w:rsidRPr="000024BE">
              <w:rPr>
                <w:lang w:val="en-GB"/>
              </w:rPr>
              <w:t>Any contingent consideration (additional purchase price) related to the combination of businesses is measured at fair value on the date of acquisition. It is classified either as a liability or equity. Contingent consideration classified as a liabilit</w:t>
            </w:r>
            <w:r w:rsidRPr="000024BE">
              <w:rPr>
                <w:lang w:val="en-GB"/>
              </w:rPr>
              <w:t xml:space="preserve">y is measured at fair value on the last day of each </w:t>
            </w:r>
            <w:r>
              <w:rPr>
                <w:lang w:val="en-GB"/>
              </w:rPr>
              <w:t>reporting</w:t>
            </w:r>
            <w:r w:rsidRPr="000024BE">
              <w:rPr>
                <w:lang w:val="en-GB"/>
              </w:rPr>
              <w:t xml:space="preserve"> period, and the resulting loss or gain is recognised through the statement of income. Contingent consideration classified as equity is not re</w:t>
            </w:r>
            <w:r>
              <w:rPr>
                <w:lang w:val="en-GB"/>
              </w:rPr>
              <w:t>-</w:t>
            </w:r>
            <w:r w:rsidRPr="000024BE">
              <w:rPr>
                <w:lang w:val="en-GB"/>
              </w:rPr>
              <w:t>measured.</w:t>
            </w:r>
          </w:p>
          <w:p w:rsidR="002E6E71" w:rsidRPr="000024BE" w:rsidP="002E6E71" w14:paraId="2017B100" w14:textId="77777777">
            <w:pPr>
              <w:pStyle w:val="Bodytext2"/>
              <w:rPr>
                <w:lang w:val="en-GB"/>
              </w:rPr>
            </w:pPr>
          </w:p>
          <w:p w:rsidR="002E6E71" w:rsidRPr="000024BE" w:rsidP="002E6E71" w14:paraId="593C36E3" w14:textId="753F7FD3">
            <w:pPr>
              <w:pStyle w:val="Bodytext2"/>
              <w:rPr>
                <w:lang w:val="en-GB"/>
              </w:rPr>
            </w:pPr>
            <w:r w:rsidRPr="000024BE">
              <w:rPr>
                <w:lang w:val="en-GB"/>
              </w:rPr>
              <w:t>The acquired subsidiaries are included in</w:t>
            </w:r>
            <w:r w:rsidRPr="000024BE">
              <w:rPr>
                <w:lang w:val="en-GB"/>
              </w:rPr>
              <w:t xml:space="preserve"> the consolidated financial statements from the day the Group has control.</w:t>
            </w:r>
          </w:p>
          <w:p w:rsidR="005967F1" w:rsidRPr="000024BE" w:rsidP="005967F1" w14:paraId="71767EA4" w14:textId="76127542">
            <w:pPr>
              <w:pStyle w:val="Bodytext2"/>
              <w:rPr>
                <w:lang w:val="en-GB"/>
              </w:rPr>
            </w:pPr>
          </w:p>
          <w:p w:rsidR="005967F1" w:rsidRPr="00967DC8" w:rsidP="005967F1" w14:paraId="3D08ECEE" w14:textId="77777777">
            <w:pPr>
              <w:pStyle w:val="Heading13"/>
              <w:rPr>
                <w:lang w:val="en-GB"/>
              </w:rPr>
            </w:pPr>
            <w:r w:rsidRPr="000024BE">
              <w:rPr>
                <w:lang w:val="en-GB"/>
              </w:rPr>
              <w:t>Accounting estimates and judgements</w:t>
            </w:r>
          </w:p>
          <w:p w:rsidR="005967F1" w:rsidRPr="00967DC8" w:rsidP="005967F1" w14:paraId="1A762E2C" w14:textId="219D36E1">
            <w:pPr>
              <w:pStyle w:val="Bodytext2"/>
              <w:rPr>
                <w:lang w:val="en-GB"/>
              </w:rPr>
            </w:pPr>
            <w:r w:rsidRPr="00967DC8">
              <w:rPr>
                <w:lang w:val="en-GB"/>
              </w:rPr>
              <w:t>Accounting for the business combinations may require estimates of the fair value of acquired assets and the expected amount of realised continge</w:t>
            </w:r>
            <w:r w:rsidRPr="00967DC8">
              <w:rPr>
                <w:lang w:val="en-GB"/>
              </w:rPr>
              <w:t>nt consideration.</w:t>
            </w:r>
          </w:p>
        </w:tc>
      </w:tr>
    </w:tbl>
    <w:p w:rsidR="005967F1" w:rsidRPr="005967F1" w:rsidP="005967F1" w14:paraId="2608C8CB" w14:textId="77777777">
      <w:pPr>
        <w:pStyle w:val="Bodytext2"/>
      </w:pPr>
    </w:p>
    <w:p w:rsidR="005967F1" w:rsidRPr="005967F1" w:rsidP="005967F1" w14:paraId="3A0BD409" w14:textId="77777777">
      <w:pPr>
        <w:pStyle w:val="Heading13"/>
      </w:pPr>
      <w:r w:rsidRPr="005967F1">
        <w:t>2020</w:t>
      </w:r>
    </w:p>
    <w:p w:rsidR="005967F1" w:rsidRPr="005967F1" w:rsidP="005967F1" w14:paraId="72D23143" w14:textId="2ECF2214">
      <w:pPr>
        <w:pStyle w:val="Bodytext2"/>
      </w:pPr>
      <w:r>
        <w:t>In 2020, there were no acquisitions.</w:t>
      </w:r>
    </w:p>
    <w:p w:rsidR="005967F1" w:rsidRPr="007E40C5" w:rsidP="005967F1" w14:paraId="04B8C8EF" w14:textId="7E5074E6">
      <w:pPr>
        <w:pStyle w:val="Bodytext2"/>
        <w:rPr>
          <w:sz w:val="2"/>
          <w:szCs w:val="2"/>
        </w:rPr>
      </w:pPr>
      <w:r>
        <w:br w:type="column"/>
      </w:r>
    </w:p>
    <w:p w:rsidR="005967F1" w:rsidRPr="005967F1" w:rsidP="005967F1" w14:paraId="40013A63" w14:textId="77777777">
      <w:pPr>
        <w:pStyle w:val="Heading13"/>
      </w:pPr>
      <w:r w:rsidRPr="005967F1">
        <w:t>2019</w:t>
      </w:r>
    </w:p>
    <w:p w:rsidR="005967F1" w:rsidRPr="005967F1" w:rsidP="00FE49B3" w14:paraId="7E9DF1C6" w14:textId="77777777">
      <w:pPr>
        <w:pStyle w:val="Heading13"/>
      </w:pPr>
      <w:r w:rsidRPr="005967F1">
        <w:t>Ships Electronic Services Ltd</w:t>
      </w:r>
    </w:p>
    <w:p w:rsidR="005967F1" w:rsidRPr="005967F1" w:rsidP="005967F1" w14:paraId="0C51273A" w14:textId="7AA89833">
      <w:pPr>
        <w:pStyle w:val="Bodytext2"/>
      </w:pPr>
      <w:r w:rsidRPr="005967F1">
        <w:t>In May, Wärtsilä acquired 100% of Ships Electronic Services Ltd (“SES”), a UK</w:t>
      </w:r>
      <w:r>
        <w:t xml:space="preserve"> </w:t>
      </w:r>
      <w:r w:rsidRPr="005967F1">
        <w:t>based company specialising in navigation and communication electronics, installation, maintenance and repair services, mainly for commercial and leisure vessels. SES’ turnover was approximately GBP 10 million and the company employed a staff of 47. The ent</w:t>
      </w:r>
      <w:r w:rsidRPr="005967F1">
        <w:t>erprise value of the transaction was GBP 3.2 million.</w:t>
      </w:r>
    </w:p>
    <w:p w:rsidR="005967F1" w:rsidRPr="005967F1" w:rsidP="005967F1" w14:paraId="205A9DEF" w14:textId="77777777">
      <w:pPr>
        <w:pStyle w:val="Bodytext2"/>
      </w:pPr>
    </w:p>
    <w:p w:rsidR="005967F1" w:rsidRPr="005967F1" w:rsidP="005967F1" w14:paraId="4F69A6B3" w14:textId="60015DA8">
      <w:pPr>
        <w:pStyle w:val="Bodytext2"/>
      </w:pPr>
      <w:r w:rsidRPr="005967F1">
        <w:t xml:space="preserve">The consideration paid and the impact on profit for the financial period </w:t>
      </w:r>
      <w:r w:rsidR="003877A7">
        <w:t>were</w:t>
      </w:r>
      <w:r w:rsidRPr="005967F1">
        <w:t xml:space="preserve"> not significant.</w:t>
      </w:r>
    </w:p>
    <w:p/>
    <w:p w:rsidR="00C82F26" w:rsidP="00C82F26" w14:paraId="55EAA7FC" w14:textId="77777777">
      <w:pPr>
        <w:pStyle w:val="Heading12"/>
      </w:pPr>
      <w:bookmarkStart w:id="1191" w:name="RG_MARKER_4163"/>
      <w:r>
        <w:t>6.2. DISPOSALS</w:t>
      </w:r>
      <w:bookmarkEnd w:id="1191"/>
    </w:p>
    <w:tbl>
      <w:tblPr>
        <w:tblStyle w:val="TableGrid"/>
        <w:tblW w:w="7371" w:type="dxa"/>
        <w:tblLook w:val="04A0"/>
      </w:tblPr>
      <w:tblGrid>
        <w:gridCol w:w="7371"/>
      </w:tblGrid>
      <w:tr w14:paraId="75606A62" w14:textId="77777777" w:rsidTr="00C82F26">
        <w:tblPrEx>
          <w:tblW w:w="7371" w:type="dxa"/>
          <w:tblLook w:val="04A0"/>
        </w:tblPrEx>
        <w:tc>
          <w:tcPr>
            <w:tcW w:w="7371" w:type="dxa"/>
            <w:tcBorders>
              <w:top w:val="nil"/>
              <w:left w:val="nil"/>
              <w:bottom w:val="nil"/>
              <w:right w:val="nil"/>
            </w:tcBorders>
            <w:shd w:val="clear" w:color="auto" w:fill="B6C8D1"/>
            <w:hideMark/>
          </w:tcPr>
          <w:p w:rsidR="00C82F26" w:rsidRPr="00801273" w:rsidP="00C82F26" w14:paraId="263B64A3" w14:textId="77777777">
            <w:pPr>
              <w:pStyle w:val="Heading13"/>
              <w:rPr>
                <w:lang w:val="en-GB"/>
              </w:rPr>
            </w:pPr>
            <w:r w:rsidRPr="00E753BC">
              <w:rPr>
                <w:lang w:val="en-GB"/>
              </w:rPr>
              <w:t>Accounting principles</w:t>
            </w:r>
          </w:p>
          <w:p w:rsidR="00C82F26" w:rsidRPr="00801273" w:rsidP="00C82F26" w14:paraId="4F907EE1" w14:textId="77777777">
            <w:pPr>
              <w:pStyle w:val="Bodytext2"/>
              <w:rPr>
                <w:color w:val="0F172B"/>
                <w:lang w:val="en-GB"/>
              </w:rPr>
            </w:pPr>
            <w:r w:rsidRPr="00801273">
              <w:rPr>
                <w:color w:val="0F172B"/>
                <w:lang w:val="en-GB"/>
              </w:rPr>
              <w:t>The disposed subsidiaries are included in the consolidated financial statements until the control ends.</w:t>
            </w:r>
          </w:p>
        </w:tc>
      </w:tr>
    </w:tbl>
    <w:p w:rsidR="00C82F26" w:rsidP="00C82F26" w14:paraId="0EDE19FB" w14:textId="77777777">
      <w:pPr>
        <w:pStyle w:val="Bodytext2"/>
        <w:rPr>
          <w:color w:val="0F172B"/>
        </w:rPr>
      </w:pPr>
    </w:p>
    <w:p w:rsidR="00C82F26" w:rsidRPr="00E753BC" w:rsidP="00C82F26" w14:paraId="799766B5" w14:textId="77777777">
      <w:pPr>
        <w:pStyle w:val="Heading13"/>
      </w:pPr>
      <w:r w:rsidRPr="00E753BC">
        <w:t>2020</w:t>
      </w:r>
    </w:p>
    <w:p w:rsidR="00D122BE" w:rsidP="00D122BE" w14:paraId="52D22AC7" w14:textId="63C0068F">
      <w:pPr>
        <w:pStyle w:val="Bodytext2"/>
        <w:rPr>
          <w:color w:val="0F172B"/>
        </w:rPr>
      </w:pPr>
      <w:r w:rsidRPr="00D122BE">
        <w:rPr>
          <w:color w:val="0F172B"/>
        </w:rPr>
        <w:t xml:space="preserve">In October 2020, Wärtsilä divested the shares in Wärtsilä JOVYATLAS GmbH to Jacob Waitz Industrie GmbH. </w:t>
      </w:r>
      <w:r>
        <w:rPr>
          <w:color w:val="0F172B"/>
        </w:rPr>
        <w:t>Wärtsilä JOVYATLAS</w:t>
      </w:r>
      <w:r w:rsidRPr="00D122BE">
        <w:rPr>
          <w:color w:val="0F172B"/>
        </w:rPr>
        <w:t xml:space="preserve"> has been manufacturing UPS systems, rectifiers, power inverters, frequency transformers and resistors</w:t>
      </w:r>
      <w:r>
        <w:rPr>
          <w:color w:val="0F172B"/>
        </w:rPr>
        <w:t xml:space="preserve"> </w:t>
      </w:r>
      <w:r w:rsidRPr="00D122BE">
        <w:rPr>
          <w:color w:val="0F172B"/>
        </w:rPr>
        <w:t xml:space="preserve">with related services for many </w:t>
      </w:r>
      <w:r w:rsidRPr="00D122BE">
        <w:rPr>
          <w:color w:val="0F172B"/>
        </w:rPr>
        <w:t>industries already for seven decades. In 2019, its net sales were EUR 20 million. The</w:t>
      </w:r>
      <w:r>
        <w:rPr>
          <w:color w:val="0F172B"/>
        </w:rPr>
        <w:t xml:space="preserve"> </w:t>
      </w:r>
      <w:r w:rsidRPr="00D122BE">
        <w:rPr>
          <w:color w:val="0F172B"/>
        </w:rPr>
        <w:t>impact of the divestment on the profit for the financial period is approximately EUR -6 million.</w:t>
      </w:r>
    </w:p>
    <w:p w:rsidR="00D122BE" w:rsidRPr="00D122BE" w:rsidP="00D122BE" w14:paraId="61FD3C6D" w14:textId="77777777">
      <w:pPr>
        <w:pStyle w:val="Bodytext2"/>
        <w:rPr>
          <w:color w:val="0F172B"/>
        </w:rPr>
      </w:pPr>
    </w:p>
    <w:p w:rsidR="00D122BE" w:rsidP="00D122BE" w14:paraId="6AB19493" w14:textId="111F5E2A">
      <w:pPr>
        <w:pStyle w:val="Bodytext2"/>
        <w:rPr>
          <w:color w:val="0F172B"/>
        </w:rPr>
      </w:pPr>
      <w:r w:rsidRPr="00D122BE">
        <w:rPr>
          <w:color w:val="0F172B"/>
        </w:rPr>
        <w:t>Also</w:t>
      </w:r>
      <w:r>
        <w:rPr>
          <w:color w:val="0F172B"/>
        </w:rPr>
        <w:t>,</w:t>
      </w:r>
      <w:r w:rsidRPr="00D122BE">
        <w:rPr>
          <w:color w:val="0F172B"/>
        </w:rPr>
        <w:t xml:space="preserve"> in October 2020, Wärtsilä divested the shares in Wärtsilä Valves L</w:t>
      </w:r>
      <w:r w:rsidRPr="00D122BE">
        <w:rPr>
          <w:color w:val="0F172B"/>
        </w:rPr>
        <w:t>td to an affiliate of Evergreen Capital L.P.</w:t>
      </w:r>
      <w:r>
        <w:rPr>
          <w:color w:val="0F172B"/>
        </w:rPr>
        <w:t xml:space="preserve"> Wärtsilä Valves</w:t>
      </w:r>
      <w:r w:rsidRPr="00E753BC">
        <w:rPr>
          <w:color w:val="0F172B"/>
        </w:rPr>
        <w:t xml:space="preserve">’ </w:t>
      </w:r>
      <w:r w:rsidRPr="00D122BE">
        <w:rPr>
          <w:color w:val="0F172B"/>
        </w:rPr>
        <w:t xml:space="preserve">activities included </w:t>
      </w:r>
      <w:r>
        <w:rPr>
          <w:color w:val="0F172B"/>
        </w:rPr>
        <w:t xml:space="preserve">the </w:t>
      </w:r>
      <w:r w:rsidRPr="00D122BE">
        <w:rPr>
          <w:color w:val="0F172B"/>
        </w:rPr>
        <w:t>engineering, assembly, testing, sales</w:t>
      </w:r>
      <w:r>
        <w:rPr>
          <w:color w:val="0F172B"/>
        </w:rPr>
        <w:t>,</w:t>
      </w:r>
      <w:r w:rsidRPr="00D122BE">
        <w:rPr>
          <w:color w:val="0F172B"/>
        </w:rPr>
        <w:t xml:space="preserve"> and delivery of nickel aluminium bronze</w:t>
      </w:r>
      <w:r>
        <w:rPr>
          <w:color w:val="0F172B"/>
        </w:rPr>
        <w:t xml:space="preserve"> </w:t>
      </w:r>
      <w:r w:rsidRPr="00D122BE">
        <w:rPr>
          <w:color w:val="0F172B"/>
        </w:rPr>
        <w:t>(NAB) and duplex valves for marine, oil &amp; gas and energy markets. It also offers applicatio</w:t>
      </w:r>
      <w:r w:rsidRPr="00D122BE">
        <w:rPr>
          <w:color w:val="0F172B"/>
        </w:rPr>
        <w:t>ns for Valves’ products,</w:t>
      </w:r>
      <w:r>
        <w:rPr>
          <w:color w:val="0F172B"/>
        </w:rPr>
        <w:t xml:space="preserve"> </w:t>
      </w:r>
      <w:r w:rsidRPr="00D122BE">
        <w:rPr>
          <w:color w:val="0F172B"/>
        </w:rPr>
        <w:t>including</w:t>
      </w:r>
      <w:r>
        <w:rPr>
          <w:color w:val="0F172B"/>
        </w:rPr>
        <w:t>, for example,</w:t>
      </w:r>
      <w:r w:rsidRPr="00D122BE">
        <w:rPr>
          <w:color w:val="0F172B"/>
        </w:rPr>
        <w:t xml:space="preserve"> FPSO, petrochemical facilities, power generation, LNG, naval marine, marine services, waste water</w:t>
      </w:r>
      <w:r>
        <w:rPr>
          <w:color w:val="0F172B"/>
        </w:rPr>
        <w:t xml:space="preserve"> </w:t>
      </w:r>
      <w:r w:rsidRPr="00D122BE">
        <w:rPr>
          <w:color w:val="0F172B"/>
        </w:rPr>
        <w:t>treatment plants and pipelines. The annual net sales were approximately EUR 15 million in 2019. The impact of</w:t>
      </w:r>
      <w:r w:rsidRPr="00D122BE">
        <w:rPr>
          <w:color w:val="0F172B"/>
        </w:rPr>
        <w:t xml:space="preserve"> the</w:t>
      </w:r>
      <w:r>
        <w:rPr>
          <w:color w:val="0F172B"/>
        </w:rPr>
        <w:t xml:space="preserve"> </w:t>
      </w:r>
      <w:r w:rsidRPr="00D122BE">
        <w:rPr>
          <w:color w:val="0F172B"/>
        </w:rPr>
        <w:t>divestment on the profit for the financial period is approximately EUR -10 million.</w:t>
      </w:r>
    </w:p>
    <w:p w:rsidR="00D122BE" w:rsidRPr="00D122BE" w:rsidP="00D122BE" w14:paraId="3D814739" w14:textId="77777777">
      <w:pPr>
        <w:pStyle w:val="Bodytext2"/>
        <w:rPr>
          <w:color w:val="0F172B"/>
        </w:rPr>
      </w:pPr>
    </w:p>
    <w:p w:rsidR="00D122BE" w:rsidP="00D122BE" w14:paraId="3369BC1E" w14:textId="33BAC45D">
      <w:pPr>
        <w:pStyle w:val="Bodytext2"/>
        <w:rPr>
          <w:color w:val="0F172B"/>
        </w:rPr>
      </w:pPr>
      <w:r w:rsidRPr="00D122BE">
        <w:rPr>
          <w:color w:val="0F172B"/>
        </w:rPr>
        <w:t>In December 2020, Wärtsilä finali</w:t>
      </w:r>
      <w:r>
        <w:rPr>
          <w:color w:val="0F172B"/>
        </w:rPr>
        <w:t>s</w:t>
      </w:r>
      <w:r w:rsidRPr="00D122BE">
        <w:rPr>
          <w:color w:val="0F172B"/>
        </w:rPr>
        <w:t>ed the divestment of shares in Wärtsilä ELAC Nautik GmbH (ELAC Nautik) to</w:t>
      </w:r>
      <w:r>
        <w:rPr>
          <w:color w:val="0F172B"/>
        </w:rPr>
        <w:t xml:space="preserve"> </w:t>
      </w:r>
      <w:r w:rsidRPr="00D122BE">
        <w:rPr>
          <w:color w:val="0F172B"/>
        </w:rPr>
        <w:t>Cohort plc. The divestment was originally announced in Dec</w:t>
      </w:r>
      <w:r w:rsidRPr="00D122BE">
        <w:rPr>
          <w:color w:val="0F172B"/>
        </w:rPr>
        <w:t>ember 2019. ELAC Nautik</w:t>
      </w:r>
      <w:r>
        <w:rPr>
          <w:color w:val="0F172B"/>
        </w:rPr>
        <w:t>’s</w:t>
      </w:r>
      <w:r w:rsidRPr="00D122BE">
        <w:rPr>
          <w:color w:val="0F172B"/>
        </w:rPr>
        <w:t xml:space="preserve"> main market focus was</w:t>
      </w:r>
      <w:r>
        <w:rPr>
          <w:color w:val="0F172B"/>
        </w:rPr>
        <w:t xml:space="preserve"> </w:t>
      </w:r>
      <w:r w:rsidRPr="00D122BE">
        <w:rPr>
          <w:color w:val="0F172B"/>
        </w:rPr>
        <w:t>hydroacoustic products, including sonars, underwater communication systems, and echo systems for small and</w:t>
      </w:r>
      <w:r>
        <w:rPr>
          <w:color w:val="0F172B"/>
        </w:rPr>
        <w:t xml:space="preserve"> </w:t>
      </w:r>
      <w:r w:rsidRPr="00D122BE">
        <w:rPr>
          <w:color w:val="0F172B"/>
        </w:rPr>
        <w:t>medium sized military submarines. The annual net sales were approximately EUR 21 million in 2019. The</w:t>
      </w:r>
      <w:r w:rsidRPr="00D122BE">
        <w:rPr>
          <w:color w:val="0F172B"/>
        </w:rPr>
        <w:t xml:space="preserve"> impact of</w:t>
      </w:r>
      <w:r>
        <w:rPr>
          <w:color w:val="0F172B"/>
        </w:rPr>
        <w:t xml:space="preserve"> </w:t>
      </w:r>
      <w:r w:rsidRPr="00D122BE">
        <w:rPr>
          <w:color w:val="0F172B"/>
        </w:rPr>
        <w:t>the divestment on the profit for the financial period is not significant.</w:t>
      </w:r>
    </w:p>
    <w:p w:rsidR="00D122BE" w:rsidRPr="00D122BE" w:rsidP="00D122BE" w14:paraId="248E3F51" w14:textId="77777777">
      <w:pPr>
        <w:pStyle w:val="Bodytext2"/>
        <w:rPr>
          <w:color w:val="0F172B"/>
        </w:rPr>
      </w:pPr>
    </w:p>
    <w:p w:rsidR="00D122BE" w:rsidP="00D122BE" w14:paraId="7F404786" w14:textId="182A9486">
      <w:pPr>
        <w:pStyle w:val="Bodytext2"/>
        <w:rPr>
          <w:color w:val="0F172B"/>
        </w:rPr>
      </w:pPr>
      <w:r w:rsidRPr="00D122BE">
        <w:rPr>
          <w:color w:val="0F172B"/>
        </w:rPr>
        <w:t>All businesses disposed belonged to Portfolio Business.</w:t>
      </w:r>
    </w:p>
    <w:p w:rsidR="00C82F26" w:rsidP="00C82F26" w14:paraId="41B1EE09" w14:textId="77777777">
      <w:pPr>
        <w:pStyle w:val="Bodytext2"/>
        <w:rPr>
          <w:color w:val="0F172B"/>
        </w:rPr>
      </w:pPr>
    </w:p>
    <w:p w:rsidR="00C82F26" w:rsidP="00C82F26" w14:paraId="6205A2BD" w14:textId="77777777">
      <w:pPr>
        <w:pStyle w:val="Heading13"/>
      </w:pPr>
      <w:r>
        <w:t>2019</w:t>
      </w:r>
    </w:p>
    <w:p w:rsidR="00C82F26" w:rsidRPr="00C82F26" w:rsidP="00C82F26" w14:paraId="4A137C6F" w14:textId="0C162032">
      <w:pPr>
        <w:pStyle w:val="Bodytext2"/>
        <w:rPr>
          <w:color w:val="0F172B"/>
        </w:rPr>
      </w:pPr>
      <w:r>
        <w:rPr>
          <w:color w:val="0F172B"/>
        </w:rPr>
        <w:t>In 2019, there were no disposals.</w:t>
      </w:r>
    </w:p>
    <w:p w:rsidR="00616C46" w:rsidRPr="005135BC" w:rsidP="00616C46" w14:paraId="303D34A7" w14:textId="77777777">
      <w:pPr>
        <w:pStyle w:val="Heading12"/>
      </w:pPr>
      <w:bookmarkStart w:id="1192" w:name="RG_MARKER_4164"/>
      <w:r w:rsidRPr="005135BC">
        <w:t>6.3. ASSETS HELD FOR SALE</w:t>
      </w:r>
      <w:bookmarkEnd w:id="1192"/>
    </w:p>
    <w:tbl>
      <w:tblPr>
        <w:tblStyle w:val="TableGrid"/>
        <w:tblW w:w="7371" w:type="dxa"/>
        <w:tblLook w:val="04A0"/>
      </w:tblPr>
      <w:tblGrid>
        <w:gridCol w:w="7371"/>
      </w:tblGrid>
      <w:tr w14:paraId="5FAB1DBF" w14:textId="77777777" w:rsidTr="00616C46">
        <w:tblPrEx>
          <w:tblW w:w="7371" w:type="dxa"/>
          <w:tblLook w:val="04A0"/>
        </w:tblPrEx>
        <w:tc>
          <w:tcPr>
            <w:tcW w:w="7371" w:type="dxa"/>
            <w:tcBorders>
              <w:top w:val="nil"/>
              <w:left w:val="nil"/>
              <w:bottom w:val="nil"/>
              <w:right w:val="nil"/>
            </w:tcBorders>
            <w:shd w:val="clear" w:color="auto" w:fill="B6C8D1"/>
          </w:tcPr>
          <w:p w:rsidR="00616C46" w:rsidRPr="005135BC" w:rsidP="00616C46" w14:paraId="3719C628" w14:textId="77777777">
            <w:pPr>
              <w:pStyle w:val="Heading13"/>
              <w:rPr>
                <w:lang w:val="en-GB"/>
              </w:rPr>
            </w:pPr>
            <w:r w:rsidRPr="005135BC">
              <w:rPr>
                <w:lang w:val="en-GB"/>
              </w:rPr>
              <w:t>Accounting principles</w:t>
            </w:r>
          </w:p>
          <w:p w:rsidR="00616C46" w:rsidRPr="005135BC" w:rsidP="00616C46" w14:paraId="402EEA8A" w14:textId="77777777">
            <w:pPr>
              <w:pStyle w:val="Bodytext2"/>
              <w:rPr>
                <w:color w:val="0F172B"/>
                <w:lang w:val="en-GB"/>
              </w:rPr>
            </w:pPr>
            <w:r w:rsidRPr="005135BC">
              <w:rPr>
                <w:color w:val="0F172B"/>
                <w:lang w:val="en-GB"/>
              </w:rPr>
              <w:t>Non-current assets and assets and liabilities related to discontinued operations are classified as held for sale if their carrying amounts are expected to be recovered primarily through sale rather than through continuing use. Classification as held for sa</w:t>
            </w:r>
            <w:r w:rsidRPr="005135BC">
              <w:rPr>
                <w:color w:val="0F172B"/>
                <w:lang w:val="en-GB"/>
              </w:rPr>
              <w:t>le requires that the following criteria are met; the sale is highly probable, the asset is available for immediate sale in its present condition subject to usual and customary terms, the management is committed to the sale, and the sale is expected to be c</w:t>
            </w:r>
            <w:r w:rsidRPr="005135BC">
              <w:rPr>
                <w:color w:val="0F172B"/>
                <w:lang w:val="en-GB"/>
              </w:rPr>
              <w:t>ompleted within one year from the date of classification.</w:t>
            </w:r>
          </w:p>
          <w:p w:rsidR="00616C46" w:rsidRPr="005135BC" w:rsidP="00616C46" w14:paraId="62E886AC" w14:textId="77777777">
            <w:pPr>
              <w:pStyle w:val="Bodytext2"/>
              <w:rPr>
                <w:color w:val="0F172B"/>
                <w:lang w:val="en-GB"/>
              </w:rPr>
            </w:pPr>
          </w:p>
          <w:p w:rsidR="002F2D46" w:rsidRPr="005135BC" w:rsidP="002F2D46" w14:paraId="0D836CD3" w14:textId="2DF81D17">
            <w:pPr>
              <w:pStyle w:val="Bodytext2"/>
              <w:rPr>
                <w:color w:val="0F172B"/>
                <w:lang w:val="en-GB"/>
              </w:rPr>
            </w:pPr>
            <w:r w:rsidRPr="005135BC">
              <w:rPr>
                <w:color w:val="0F172B"/>
                <w:lang w:val="en-GB"/>
              </w:rPr>
              <w:t>Prior to classification as held for sale, the assets or assets and liabilities related to a disposal group in question are measured according to the respective IFRS standards. From the date of clas</w:t>
            </w:r>
            <w:r w:rsidRPr="005135BC">
              <w:rPr>
                <w:color w:val="0F172B"/>
                <w:lang w:val="en-GB"/>
              </w:rPr>
              <w:t>sification, non-current assets held for sale are measured at the lower of the carrying amount and the fair value less costs to sell, and the recognition of depreciation and amortisation is discontinued.</w:t>
            </w:r>
          </w:p>
          <w:p w:rsidR="002F2D46" w:rsidRPr="005135BC" w:rsidP="002F2D46" w14:paraId="241E0024" w14:textId="77777777">
            <w:pPr>
              <w:pStyle w:val="Bodytext2"/>
              <w:rPr>
                <w:color w:val="0F172B"/>
                <w:lang w:val="en-GB"/>
              </w:rPr>
            </w:pPr>
          </w:p>
          <w:p w:rsidR="00616C46" w:rsidRPr="005135BC" w:rsidP="00616C46" w14:paraId="439FAC8B" w14:textId="76D914EE">
            <w:pPr>
              <w:pStyle w:val="Bodytext2"/>
              <w:rPr>
                <w:color w:val="0F172B"/>
                <w:lang w:val="en-GB"/>
              </w:rPr>
            </w:pPr>
            <w:r w:rsidRPr="005135BC">
              <w:rPr>
                <w:color w:val="0F172B"/>
                <w:lang w:val="en-GB"/>
              </w:rPr>
              <w:t>Non-current assets held for sale are presented in th</w:t>
            </w:r>
            <w:r w:rsidRPr="005135BC">
              <w:rPr>
                <w:color w:val="0F172B"/>
                <w:lang w:val="en-GB"/>
              </w:rPr>
              <w:t>e statement of financial position separately from other items. The comparison figures for the statement of financial position are not restated.</w:t>
            </w:r>
          </w:p>
        </w:tc>
      </w:tr>
    </w:tbl>
    <w:p w:rsidR="00616C46" w:rsidRPr="005135BC" w:rsidP="00616C46" w14:paraId="42A10CA4" w14:textId="2280B970">
      <w:pPr>
        <w:pStyle w:val="Bodytext2"/>
        <w:rPr>
          <w:color w:val="0F172B"/>
        </w:rPr>
      </w:pPr>
    </w:p>
    <w:p w:rsidR="002F2D46" w:rsidRPr="005135BC" w:rsidP="002F2D46" w14:paraId="3F56B0C0" w14:textId="74516C66">
      <w:pPr>
        <w:pStyle w:val="Heading13"/>
      </w:pPr>
      <w:r w:rsidRPr="005135BC">
        <w:t>2020</w:t>
      </w:r>
    </w:p>
    <w:p w:rsidR="00D0245C" w:rsidP="00D0245C" w14:paraId="0707D780" w14:textId="77777777">
      <w:pPr>
        <w:pStyle w:val="Bodytext2"/>
      </w:pPr>
      <w:r w:rsidRPr="00601AAC">
        <w:t xml:space="preserve">Wärtsilä has classified Entertainment and Tank Control businesses as assets held for sale. Entertainment </w:t>
      </w:r>
      <w:r w:rsidRPr="00601AAC">
        <w:t>business</w:t>
      </w:r>
      <w:r>
        <w:t xml:space="preserve"> </w:t>
      </w:r>
      <w:r w:rsidRPr="00601AAC">
        <w:t>has been classified as assets held for sale since the fourth quarter of 2019 and Tank Control business since the</w:t>
      </w:r>
      <w:r>
        <w:t xml:space="preserve"> </w:t>
      </w:r>
      <w:r w:rsidRPr="00601AAC">
        <w:t>second quarter of 2020. Completion of the transactions are expected in the first half of 2021.</w:t>
      </w:r>
    </w:p>
    <w:p w:rsidR="00D0245C" w:rsidP="00D0245C" w14:paraId="6AD8DFED" w14:textId="77777777">
      <w:pPr>
        <w:pStyle w:val="Bodytext2"/>
      </w:pPr>
    </w:p>
    <w:p w:rsidR="00D0245C" w:rsidP="00D0245C" w14:paraId="2EB74E93" w14:textId="77777777">
      <w:pPr>
        <w:pStyle w:val="Bodytext2"/>
      </w:pPr>
      <w:r w:rsidRPr="00601AAC">
        <w:t>Additionally, Wärtsilä has started pre</w:t>
      </w:r>
      <w:r w:rsidRPr="00601AAC">
        <w:t>parations to divest Wärtsilä EUROATLAS GmbH, which is also classified as</w:t>
      </w:r>
      <w:r>
        <w:t xml:space="preserve"> </w:t>
      </w:r>
      <w:r w:rsidRPr="00601AAC">
        <w:t>assets held for sale. Completion of the transaction is expected during the second half of 2021. The impact on the</w:t>
      </w:r>
      <w:r>
        <w:t xml:space="preserve"> </w:t>
      </w:r>
      <w:r w:rsidRPr="00601AAC">
        <w:t>profit for the financial period is approximately EUR -6 million.</w:t>
      </w:r>
    </w:p>
    <w:p w:rsidR="00D0245C" w:rsidP="00D0245C" w14:paraId="585C7AB0" w14:textId="77777777">
      <w:pPr>
        <w:pStyle w:val="Bodytext2"/>
      </w:pPr>
    </w:p>
    <w:p w:rsidR="00601AAC" w:rsidP="00D0245C" w14:paraId="3E3764D3" w14:textId="52B472E0">
      <w:pPr>
        <w:pStyle w:val="Bodytext2"/>
      </w:pPr>
      <w:r w:rsidRPr="00601AAC">
        <w:t>All</w:t>
      </w:r>
      <w:r w:rsidRPr="00601AAC">
        <w:t xml:space="preserve"> assets held for sale belong to Portfolio Business and they are valued at the lower of book value or fair value.</w:t>
      </w:r>
    </w:p>
    <w:p w:rsidR="004530BC" w:rsidRPr="005135BC" w:rsidP="004530BC" w14:paraId="4C7B07D9" w14:textId="77777777">
      <w:pPr>
        <w:pStyle w:val="Bodytext2"/>
        <w:rPr>
          <w:color w:val="0F172B"/>
        </w:rPr>
      </w:pPr>
    </w:p>
    <w:p w:rsidR="002F2D46" w:rsidRPr="005135BC" w:rsidP="002F2D46" w14:paraId="279A89D1" w14:textId="6D333347">
      <w:pPr>
        <w:pStyle w:val="Heading13"/>
      </w:pPr>
      <w:r w:rsidRPr="005135BC">
        <w:t>2019</w:t>
      </w:r>
    </w:p>
    <w:p w:rsidR="002F2D46" w:rsidRPr="005135BC" w:rsidP="002F2D46" w14:paraId="21693878" w14:textId="7B138836">
      <w:pPr>
        <w:pStyle w:val="Bodytext2"/>
      </w:pPr>
      <w:r w:rsidRPr="005135BC">
        <w:t>In December, Wärtsilä announced the divestment of shares in Wärtsilä ELAC Nautik GmbH (ELAC Nautik</w:t>
      </w:r>
      <w:r w:rsidRPr="005135BC">
        <w:t>) to Cohort plc. ELAC Nautik's main market focus is on hydroacoustic products, including sonars, underwater communication systems and echo systems for small and medium sized military submarines.</w:t>
      </w:r>
    </w:p>
    <w:p w:rsidR="002F2D46" w:rsidRPr="005135BC" w:rsidP="002F2D46" w14:paraId="198766D5" w14:textId="77777777">
      <w:pPr>
        <w:pStyle w:val="Bodytext2"/>
      </w:pPr>
    </w:p>
    <w:p w:rsidR="002F2D46" w:rsidRPr="00DA6D3E" w:rsidP="002F2D46" w14:paraId="194D4660" w14:textId="58D97FD0">
      <w:pPr>
        <w:pStyle w:val="Bodytext2"/>
        <w:rPr>
          <w:sz w:val="2"/>
          <w:szCs w:val="2"/>
        </w:rPr>
      </w:pPr>
      <w:r w:rsidRPr="005135BC">
        <w:t>Wärtsilä, through its Smart Marine Ecosystem approach, is le</w:t>
      </w:r>
      <w:r w:rsidRPr="005135BC">
        <w:t>ading the marine industry’s transition into a new era of high efficiency, greater safety, and outstanding environmental performance. As this is Wärtsilä's core strategy for Marine Business, and ELAC Nautik</w:t>
      </w:r>
      <w:r>
        <w:t>’s</w:t>
      </w:r>
      <w:r w:rsidRPr="005135BC">
        <w:t xml:space="preserve"> business has no clear synergistic link to Wärtsi</w:t>
      </w:r>
      <w:r w:rsidRPr="005135BC">
        <w:t xml:space="preserve">lä’s Smart Marine activities in transforming the marine sector, </w:t>
      </w:r>
      <w:r>
        <w:t>Wärtsilä’s</w:t>
      </w:r>
      <w:r w:rsidRPr="005135BC">
        <w:t xml:space="preserve"> portfolio is </w:t>
      </w:r>
      <w:r>
        <w:t xml:space="preserve">being </w:t>
      </w:r>
      <w:r w:rsidRPr="005135BC">
        <w:t>aligned to those growth businesses that can drive this transition.</w:t>
      </w:r>
      <w:r>
        <w:br w:type="column"/>
      </w:r>
    </w:p>
    <w:p w:rsidR="002F2D46" w:rsidRPr="005135BC" w:rsidP="002F2D46" w14:paraId="4809EEAA" w14:textId="1F3E7D57">
      <w:pPr>
        <w:pStyle w:val="Bodytext2"/>
      </w:pPr>
      <w:r w:rsidRPr="005135BC">
        <w:t>Additionally, Wärtsilä has started preparations to divest its Entertainment business, which is</w:t>
      </w:r>
      <w:r w:rsidRPr="005135BC">
        <w:t xml:space="preserve"> also classified as assets held for sale.</w:t>
      </w:r>
    </w:p>
    <w:p w:rsidR="002F2D46" w:rsidRPr="005135BC" w:rsidP="002F2D46" w14:paraId="3B5B245C" w14:textId="77777777">
      <w:pPr>
        <w:pStyle w:val="Bodytext2"/>
      </w:pPr>
    </w:p>
    <w:p w:rsidR="002F2D46" w:rsidRPr="005135BC" w:rsidP="002F2D46" w14:paraId="4015DD3A" w14:textId="328EA847">
      <w:pPr>
        <w:pStyle w:val="Bodytext2"/>
      </w:pPr>
      <w:r w:rsidRPr="005135BC">
        <w:t>The assets held for sale belong to the Wärtsilä Marine Business segment and they are valued at the lower of book value or fair value.</w:t>
      </w:r>
    </w:p>
    <w:p w:rsidR="002F2D46" w:rsidRPr="005135BC" w:rsidP="002F2D46" w14:paraId="25DA70E1" w14:textId="77777777">
      <w:pPr>
        <w:pStyle w:val="Bodytext2"/>
      </w:pPr>
    </w:p>
    <w:p w:rsidR="00616C46" w:rsidRPr="005135BC" w:rsidP="002F2D46" w14:paraId="171B967B" w14:textId="48292D59">
      <w:pPr>
        <w:pStyle w:val="Bodytext2"/>
      </w:pPr>
      <w:r w:rsidRPr="005135BC">
        <w:t>Subject to approvals, completion of these transactions is expected in the earl</w:t>
      </w:r>
      <w:r w:rsidRPr="005135BC">
        <w:t>y part of 2020.</w:t>
      </w:r>
    </w:p>
    <w:p w:rsidR="002F2D46" w:rsidRPr="005135BC" w:rsidP="002F2D46" w14:paraId="6EBD7F5A" w14:textId="77777777">
      <w:pPr>
        <w:pStyle w:val="Bodytext2"/>
      </w:pPr>
    </w:p>
    <w:p w:rsidR="00616C46" w:rsidRPr="005135BC" w:rsidP="00616C46" w14:paraId="1868BAD6" w14:textId="77777777">
      <w:pPr>
        <w:pStyle w:val="Heading13"/>
      </w:pPr>
      <w:r w:rsidRPr="005135BC">
        <w:t>Items on statement of financial position</w:t>
      </w:r>
    </w:p>
    <w:tbl>
      <w:tblPr>
        <w:tblStyle w:val="TableNormal"/>
        <w:tblCaption w:val="table_63_cur"/>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31.12.2020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31.12.2019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Goodwill</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124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intangible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Property, plant and equipment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Right-of-use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Deferred tax assets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Inventories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 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cash equivalents</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 held for sale</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105</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00000"/>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Write-down of assets</w:t>
            </w:r>
          </w:p>
        </w:tc>
        <w:tc>
          <w:tcPr>
            <w:tcW w:w="1245" w:type="dxa"/>
            <w:tcBorders>
              <w:top w:val="single" w:sz="4" w:space="0" w:color="004A6B"/>
              <w:left w:val="nil"/>
              <w:bottom w:val="single" w:sz="8" w:space="0" w:color="000000"/>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8" w:space="0" w:color="000000"/>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00000"/>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for assets held for sale</w:t>
            </w:r>
          </w:p>
        </w:tc>
        <w:tc>
          <w:tcPr>
            <w:tcW w:w="1245" w:type="dxa"/>
            <w:tcBorders>
              <w:top w:val="single" w:sz="8" w:space="0" w:color="000000"/>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99</w:t>
            </w:r>
          </w:p>
        </w:tc>
        <w:tc>
          <w:tcPr>
            <w:tcW w:w="1245" w:type="dxa"/>
            <w:tcBorders>
              <w:top w:val="single" w:sz="8" w:space="0" w:color="000000"/>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82</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non-current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Deferred tax liabilities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liabilities, non-current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liabilities, current</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52</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47</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 directly attributable to assets held for sale</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68</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68</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Net assets</w:t>
            </w:r>
          </w:p>
        </w:tc>
        <w:tc>
          <w:tcPr>
            <w:tcW w:w="124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w:t>
            </w:r>
          </w:p>
        </w:tc>
        <w:tc>
          <w:tcPr>
            <w:tcW w:w="124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r>
    </w:tbl>
    <w:p w:rsidR="009E621F" w:rsidP="00BA38AE" w14:paraId="692C949F" w14:textId="6E4E93B1">
      <w:pPr>
        <w:pStyle w:val="Bodytext2"/>
        <w:rPr>
          <w:color w:val="0F172B"/>
        </w:rPr>
      </w:pPr>
    </w:p>
    <w:p w:rsidR="009E621F" w:rsidRPr="00272C4B" w:rsidP="00BA38AE" w14:paraId="5784D7C6" w14:textId="0D1A8DA0">
      <w:pPr>
        <w:pStyle w:val="Bodytext2"/>
        <w:rPr>
          <w:color w:val="0F172B"/>
          <w:sz w:val="2"/>
          <w:szCs w:val="2"/>
          <w:lang w:val="en-GB"/>
        </w:rPr>
      </w:pPr>
      <w:r>
        <w:rPr>
          <w:color w:val="0F172B"/>
        </w:rPr>
        <w:t>In 2020, the write-down of assets</w:t>
      </w:r>
      <w:r>
        <w:rPr>
          <w:color w:val="0F172B"/>
        </w:rPr>
        <w:t xml:space="preserve"> EUR -6 million, relates to the classification of Wärtsilä EUROATLAS GmbH as assets held for sale. The e</w:t>
      </w:r>
      <w:r w:rsidR="000C4903">
        <w:rPr>
          <w:color w:val="0F172B"/>
        </w:rPr>
        <w:t>xpense</w:t>
      </w:r>
      <w:r>
        <w:rPr>
          <w:color w:val="0F172B"/>
        </w:rPr>
        <w:t xml:space="preserve"> is recognised in d</w:t>
      </w:r>
      <w:r w:rsidR="000C4903">
        <w:rPr>
          <w:color w:val="0F172B"/>
        </w:rPr>
        <w:t>epreciation, amorti</w:t>
      </w:r>
      <w:r>
        <w:rPr>
          <w:color w:val="0F172B"/>
        </w:rPr>
        <w:t>s</w:t>
      </w:r>
      <w:r w:rsidR="000C4903">
        <w:rPr>
          <w:color w:val="0F172B"/>
        </w:rPr>
        <w:t>ation and impairment</w:t>
      </w:r>
      <w:r>
        <w:rPr>
          <w:color w:val="0F172B"/>
        </w:rPr>
        <w:t xml:space="preserve"> in the statement of income.</w:t>
      </w:r>
      <w:r>
        <w:rPr>
          <w:color w:val="0F172B"/>
        </w:rPr>
        <w:br w:type="column"/>
      </w:r>
    </w:p>
    <w:p w:rsidR="00543D58" w:rsidRPr="00543D58" w:rsidP="00543D58" w14:paraId="1E645FAB" w14:textId="77777777">
      <w:pPr>
        <w:pStyle w:val="Heading12"/>
      </w:pPr>
      <w:bookmarkStart w:id="1193" w:name="RG_MARKER_4165"/>
      <w:r w:rsidRPr="00543D58">
        <w:t>6.4. INVESTMENTS IN ASSOCIATES AND JOINT VENTURES</w:t>
      </w:r>
      <w:bookmarkEnd w:id="1193"/>
    </w:p>
    <w:tbl>
      <w:tblPr>
        <w:tblStyle w:val="TableGrid"/>
        <w:tblW w:w="7371" w:type="dxa"/>
        <w:tblLook w:val="04A0"/>
      </w:tblPr>
      <w:tblGrid>
        <w:gridCol w:w="7371"/>
      </w:tblGrid>
      <w:tr w14:paraId="51209740" w14:textId="77777777" w:rsidTr="00543D58">
        <w:tblPrEx>
          <w:tblW w:w="7371" w:type="dxa"/>
          <w:tblLook w:val="04A0"/>
        </w:tblPrEx>
        <w:tc>
          <w:tcPr>
            <w:tcW w:w="7371" w:type="dxa"/>
            <w:tcBorders>
              <w:top w:val="nil"/>
              <w:left w:val="nil"/>
              <w:bottom w:val="nil"/>
              <w:right w:val="nil"/>
            </w:tcBorders>
            <w:shd w:val="clear" w:color="auto" w:fill="B6C8D1"/>
          </w:tcPr>
          <w:p w:rsidR="00543D58" w:rsidP="00543D58" w14:paraId="0BB6EC54" w14:textId="77777777">
            <w:pPr>
              <w:pStyle w:val="Heading13"/>
              <w:rPr>
                <w:lang w:val="en-GB"/>
              </w:rPr>
            </w:pPr>
            <w:r w:rsidRPr="00B151A2">
              <w:rPr>
                <w:lang w:val="en-GB"/>
              </w:rPr>
              <w:t>Accounting principles</w:t>
            </w:r>
          </w:p>
          <w:p w:rsidR="00543D58" w:rsidP="00543D58" w14:paraId="09BCF44C" w14:textId="77777777">
            <w:pPr>
              <w:pStyle w:val="Bodytext2"/>
              <w:rPr>
                <w:color w:val="0F172B"/>
                <w:szCs w:val="15"/>
                <w:lang w:val="en-GB"/>
              </w:rPr>
            </w:pPr>
            <w:r>
              <w:rPr>
                <w:color w:val="0F172B"/>
                <w:szCs w:val="15"/>
                <w:lang w:val="en-GB"/>
              </w:rPr>
              <w:t>Associated companies are all entities over which the Group has significant influence but not control or joint control. This is generally the case where the Group holds between 20% and 50% of the voting rights.</w:t>
            </w:r>
          </w:p>
          <w:p w:rsidR="00543D58" w:rsidP="00543D58" w14:paraId="30F4CF64" w14:textId="77777777">
            <w:pPr>
              <w:pStyle w:val="Bodytext2"/>
              <w:rPr>
                <w:color w:val="0F172B"/>
                <w:szCs w:val="15"/>
                <w:lang w:val="en-GB"/>
              </w:rPr>
            </w:pPr>
          </w:p>
          <w:p w:rsidR="00543D58" w:rsidP="00543D58" w14:paraId="3AC5099E" w14:textId="77777777">
            <w:pPr>
              <w:pStyle w:val="Bodytext2"/>
              <w:rPr>
                <w:color w:val="0F172B"/>
                <w:szCs w:val="15"/>
                <w:lang w:val="en-GB"/>
              </w:rPr>
            </w:pPr>
            <w:r>
              <w:rPr>
                <w:color w:val="0F172B"/>
                <w:szCs w:val="15"/>
                <w:lang w:val="en-GB"/>
              </w:rPr>
              <w:t>A joint venture is a joint arrangement whereb</w:t>
            </w:r>
            <w:r>
              <w:rPr>
                <w:color w:val="0F172B"/>
                <w:szCs w:val="15"/>
                <w:lang w:val="en-GB"/>
              </w:rPr>
              <w:t>y the parties that have joint control of the arrangement have rights to the net assets of the joint venture. Joint control is established by contractual agreement.</w:t>
            </w:r>
          </w:p>
          <w:p w:rsidR="00543D58" w:rsidP="00543D58" w14:paraId="340EC785" w14:textId="77777777">
            <w:pPr>
              <w:pStyle w:val="Bodytext2"/>
              <w:rPr>
                <w:color w:val="0F172B"/>
                <w:szCs w:val="15"/>
                <w:lang w:val="en-GB"/>
              </w:rPr>
            </w:pPr>
          </w:p>
          <w:p w:rsidR="00543D58" w:rsidP="00543D58" w14:paraId="3608F9FB" w14:textId="16AC3E6D">
            <w:pPr>
              <w:pStyle w:val="Bodytext2"/>
              <w:rPr>
                <w:color w:val="0F172B"/>
                <w:szCs w:val="15"/>
                <w:lang w:val="en-GB"/>
              </w:rPr>
            </w:pPr>
            <w:r>
              <w:rPr>
                <w:color w:val="0F172B"/>
                <w:szCs w:val="15"/>
                <w:lang w:val="en-GB"/>
              </w:rPr>
              <w:t>Associated companies and joint ventures are included in the consolidated financial statemen</w:t>
            </w:r>
            <w:r>
              <w:rPr>
                <w:color w:val="0F172B"/>
                <w:szCs w:val="15"/>
                <w:lang w:val="en-GB"/>
              </w:rPr>
              <w:t>ts using the equity method from the date the Group’s significant influence or joint control commences until the date it ceases. Investments in associates are initially recognised at cost, and the carrying amount is increased or decreased according to the G</w:t>
            </w:r>
            <w:r>
              <w:rPr>
                <w:color w:val="0F172B"/>
                <w:szCs w:val="15"/>
                <w:lang w:val="en-GB"/>
              </w:rPr>
              <w:t xml:space="preserve">roup´s share of changes in the net assets of the associate after the date of the acquisition. The Group’s share of the associated company’s or joint venture’s profit for the reporting period is shown as a separate item before the Group’s operating result, </w:t>
            </w:r>
            <w:r>
              <w:rPr>
                <w:color w:val="0F172B"/>
                <w:szCs w:val="15"/>
                <w:lang w:val="en-GB"/>
              </w:rPr>
              <w:t>on the line Share of result of associates and joint ventures. The Group’s share of the associated company’s or joint venture’s changes recognised in other comprehensive income is recognised in the Group’s other comprehensive income. Wärtsilä’s proportion o</w:t>
            </w:r>
            <w:r>
              <w:rPr>
                <w:color w:val="0F172B"/>
                <w:szCs w:val="15"/>
                <w:lang w:val="en-GB"/>
              </w:rPr>
              <w:t>f the associated company’s or joint venture’s post-acquisition accumulated equity is included in the Group’s equity. If the Group’s share of the associated company's or joint venture's losses exceeds its interest in the company, the carrying amount is writ</w:t>
            </w:r>
            <w:r>
              <w:rPr>
                <w:color w:val="0F172B"/>
                <w:szCs w:val="15"/>
                <w:lang w:val="en-GB"/>
              </w:rPr>
              <w:t>ten down to zero. After this, losses are only recognised if the Group has incurred obligations from the associated company or joint venture.</w:t>
            </w:r>
          </w:p>
          <w:p w:rsidR="00543D58" w:rsidP="00543D58" w14:paraId="116AE2A9" w14:textId="77777777">
            <w:pPr>
              <w:pStyle w:val="Bodytext2"/>
              <w:rPr>
                <w:color w:val="0F172B"/>
                <w:szCs w:val="15"/>
                <w:lang w:val="en-GB"/>
              </w:rPr>
            </w:pPr>
          </w:p>
          <w:p w:rsidR="00543D58" w:rsidP="00543D58" w14:paraId="4C862404" w14:textId="06FE9851">
            <w:pPr>
              <w:pStyle w:val="Bodytext2"/>
              <w:rPr>
                <w:color w:val="0F172B"/>
                <w:szCs w:val="15"/>
                <w:lang w:val="en-GB"/>
              </w:rPr>
            </w:pPr>
            <w:r>
              <w:rPr>
                <w:color w:val="0F172B"/>
                <w:szCs w:val="15"/>
                <w:lang w:val="en-GB"/>
              </w:rPr>
              <w:t>The accumulated exchange rate differences arising from the consolidation of associated companies and joint venture</w:t>
            </w:r>
            <w:r>
              <w:rPr>
                <w:color w:val="0F172B"/>
                <w:szCs w:val="15"/>
                <w:lang w:val="en-GB"/>
              </w:rPr>
              <w:t>s, which are recognised in equity, are recognised in the statement of income as part of the gain or loss when change in ownership occurs.</w:t>
            </w:r>
          </w:p>
        </w:tc>
      </w:tr>
    </w:tbl>
    <w:p w:rsidR="00543D58" w:rsidP="00543D58" w14:paraId="6A575E5F" w14:textId="77777777">
      <w:pPr>
        <w:pStyle w:val="Bodytext2"/>
        <w:rPr>
          <w:color w:val="0F172B"/>
          <w:szCs w:val="15"/>
          <w:lang w:val="en-GB" w:eastAsia="fi-FI"/>
        </w:rPr>
      </w:pPr>
    </w:p>
    <w:tbl>
      <w:tblPr>
        <w:tblStyle w:val="TableNormal"/>
        <w:tblCaption w:val="table_64_investments"/>
        <w:tblW w:w="7350" w:type="dxa"/>
        <w:tblLayout w:type="fixed"/>
        <w:tblLook w:val="0600"/>
      </w:tblPr>
      <w:tblGrid>
        <w:gridCol w:w="4860"/>
        <w:gridCol w:w="1245"/>
        <w:gridCol w:w="1245"/>
      </w:tblGrid>
      <w:tr>
        <w:tblPrEx>
          <w:tblW w:w="7350" w:type="dxa"/>
          <w:tblLayout w:type="fixed"/>
          <w:tblLook w:val="0600"/>
        </w:tblPrEx>
        <w:trPr>
          <w:trHeight w:hRule="exac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Carrying amount on 1 January</w:t>
            </w:r>
          </w:p>
        </w:tc>
        <w:tc>
          <w:tcPr>
            <w:tcW w:w="124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124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66</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of result</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Translation differences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Reduction of share capital in associates and joint ventures</w:t>
            </w:r>
          </w:p>
        </w:tc>
        <w:tc>
          <w:tcPr>
            <w:tcW w:w="124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w:t>
            </w:r>
          </w:p>
        </w:tc>
        <w:tc>
          <w:tcPr>
            <w:tcW w:w="124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Impairment</w:t>
            </w:r>
          </w:p>
        </w:tc>
        <w:tc>
          <w:tcPr>
            <w:tcW w:w="124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24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on 31 December</w:t>
            </w:r>
          </w:p>
        </w:tc>
        <w:tc>
          <w:tcPr>
            <w:tcW w:w="124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w:t>
            </w:r>
          </w:p>
        </w:tc>
        <w:tc>
          <w:tcPr>
            <w:tcW w:w="124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42</w:t>
            </w:r>
          </w:p>
        </w:tc>
      </w:tr>
    </w:tbl>
    <w:p w:rsidR="00725352" w:rsidRPr="00D523D6" w:rsidP="00543D58" w14:paraId="7DF6BE72" w14:textId="5E01A20C">
      <w:pPr>
        <w:pStyle w:val="Bodytext2"/>
        <w:rPr>
          <w:color w:val="0F172B"/>
          <w:sz w:val="2"/>
          <w:szCs w:val="2"/>
          <w:lang w:val="en-GB"/>
        </w:rPr>
      </w:pPr>
      <w:r>
        <w:rPr>
          <w:color w:val="0F172B"/>
          <w:szCs w:val="15"/>
          <w:lang w:val="en-GB"/>
        </w:rPr>
        <w:br w:type="column"/>
      </w:r>
    </w:p>
    <w:p w:rsidR="00725352" w:rsidP="00543D58" w14:paraId="5AA463B9" w14:textId="635346A5">
      <w:pPr>
        <w:pStyle w:val="Bodytext2"/>
        <w:rPr>
          <w:color w:val="0F172B"/>
          <w:szCs w:val="15"/>
          <w:lang w:val="en-GB"/>
        </w:rPr>
        <w:sectPr w:rsidSect="00E83080">
          <w:headerReference w:type="even" r:id="rId46"/>
          <w:headerReference w:type="default" r:id="rId47"/>
          <w:footerReference w:type="even" r:id="rId48"/>
          <w:footerReference w:type="default" r:id="rId49"/>
          <w:headerReference w:type="first" r:id="rId50"/>
          <w:footerReference w:type="first" r:id="rId51"/>
          <w:type w:val="continuous"/>
          <w:pgSz w:w="16838" w:h="11906" w:orient="landscape"/>
          <w:pgMar w:top="1814" w:right="737" w:bottom="1247" w:left="737" w:header="720" w:footer="720" w:gutter="0"/>
          <w:pgBorders w:zOrder="front" w:display="allPages" w:offsetFrom="text">
            <w:top w:val="nil"/>
            <w:left w:val="nil"/>
            <w:bottom w:val="nil"/>
            <w:right w:val="nil"/>
          </w:pgBorders>
          <w:cols w:num="2" w:space="624"/>
          <w:vAlign w:val="top"/>
          <w:titlePg w:val="0"/>
          <w:rtlGutter w:val="0"/>
          <w:docGrid w:linePitch="360"/>
        </w:sectPr>
      </w:pPr>
    </w:p>
    <w:p w:rsidR="00543D58" w:rsidP="00543D58" w14:paraId="0D052187" w14:textId="31851C88">
      <w:pPr>
        <w:pStyle w:val="Bodytext2"/>
        <w:rPr>
          <w:b/>
          <w:bCs/>
          <w:color w:val="0F172B"/>
          <w:szCs w:val="15"/>
          <w:lang w:val="en-GB"/>
        </w:rPr>
      </w:pPr>
    </w:p>
    <w:p w:rsidR="00543D58" w:rsidP="00543D58" w14:paraId="18E3F483" w14:textId="42D314F1">
      <w:pPr>
        <w:pStyle w:val="Heading13"/>
        <w:rPr>
          <w:lang w:val="en-GB"/>
        </w:rPr>
      </w:pPr>
      <w:r>
        <w:rPr>
          <w:lang w:val="en-GB"/>
        </w:rPr>
        <w:t>Summary of financial information (100%):</w:t>
      </w:r>
    </w:p>
    <w:p w:rsidR="00543D58" w:rsidP="00543D58" w14:paraId="7C280F77" w14:textId="77777777">
      <w:pPr>
        <w:pStyle w:val="Bodytext2"/>
        <w:rPr>
          <w:b/>
          <w:bCs/>
          <w:color w:val="0F172B"/>
          <w:szCs w:val="15"/>
          <w:lang w:val="en-GB"/>
        </w:rPr>
      </w:pPr>
    </w:p>
    <w:p w:rsidR="00543D58" w:rsidP="00543D58" w14:paraId="27E64C2E" w14:textId="77777777">
      <w:pPr>
        <w:pStyle w:val="Heading13"/>
        <w:rPr>
          <w:lang w:val="en-GB"/>
        </w:rPr>
      </w:pPr>
      <w:r>
        <w:rPr>
          <w:lang w:val="en-GB"/>
        </w:rPr>
        <w:t>2020</w:t>
      </w:r>
    </w:p>
    <w:tbl>
      <w:tblPr>
        <w:tblStyle w:val="TableNormal"/>
        <w:tblCaption w:val="table_64_fin_info_cur"/>
        <w:tblW w:w="15420" w:type="dxa"/>
        <w:tblLayout w:type="fixed"/>
        <w:tblLook w:val="0600"/>
      </w:tblPr>
      <w:tblGrid>
        <w:gridCol w:w="4860"/>
        <w:gridCol w:w="1560"/>
        <w:gridCol w:w="1125"/>
        <w:gridCol w:w="1125"/>
        <w:gridCol w:w="1125"/>
        <w:gridCol w:w="1125"/>
        <w:gridCol w:w="1125"/>
        <w:gridCol w:w="1125"/>
        <w:gridCol w:w="1125"/>
        <w:gridCol w:w="1125"/>
      </w:tblGrid>
      <w:tr>
        <w:tblPrEx>
          <w:tblW w:w="15420" w:type="dxa"/>
          <w:tblLayout w:type="fixed"/>
          <w:tblLook w:val="0600"/>
        </w:tblPrEx>
        <w:trPr>
          <w:trHeigh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6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Holding %</w:t>
            </w:r>
          </w:p>
        </w:tc>
        <w:tc>
          <w:tcPr>
            <w:tcW w:w="112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Non-current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112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112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w:t>
            </w:r>
          </w:p>
        </w:tc>
        <w:tc>
          <w:tcPr>
            <w:tcW w:w="112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112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112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Net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sales</w:t>
            </w:r>
          </w:p>
        </w:tc>
        <w:tc>
          <w:tcPr>
            <w:tcW w:w="112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Profit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for 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financial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period</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Joint ventures</w:t>
            </w:r>
          </w:p>
        </w:tc>
        <w:tc>
          <w:tcPr>
            <w:tcW w:w="156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Qiyao Diesel Company Ltd.</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7E6E6"/>
                <w:sz w:val="13"/>
                <w:u w:val="none"/>
                <w:vertAlign w:val="baseline"/>
              </w:rPr>
            </w:pPr>
            <w:r>
              <w:rPr>
                <w:rFonts w:ascii="Arial" w:eastAsia="Arial" w:hAnsi="Arial" w:cs="Arial"/>
                <w:b/>
                <w:i w:val="0"/>
                <w:strike w:val="0"/>
                <w:color w:val="E7E6E6"/>
                <w:sz w:val="13"/>
                <w:u w:val="none"/>
                <w:vertAlign w:val="baseline"/>
              </w:rPr>
              <w:t>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5"/>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Hyundai Engine Co Ltd.</w:t>
            </w:r>
          </w:p>
        </w:tc>
        <w:tc>
          <w:tcPr>
            <w:tcW w:w="15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South Korea</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0.0</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CSSC Wärtsilä Electrical &amp; Automation Co., Ltd.</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7E6E6"/>
                <w:sz w:val="13"/>
                <w:u w:val="none"/>
                <w:vertAlign w:val="baseline"/>
              </w:rPr>
            </w:pPr>
            <w:r>
              <w:rPr>
                <w:rFonts w:ascii="Arial" w:eastAsia="Arial" w:hAnsi="Arial" w:cs="Arial"/>
                <w:b/>
                <w:i w:val="0"/>
                <w:strike w:val="0"/>
                <w:color w:val="E7E6E6"/>
                <w:sz w:val="13"/>
                <w:u w:val="none"/>
                <w:vertAlign w:val="baseline"/>
              </w:rPr>
              <w:t>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7E6E6"/>
                <w:sz w:val="13"/>
                <w:u w:val="none"/>
                <w:vertAlign w:val="baseline"/>
              </w:rPr>
            </w:pPr>
            <w:r>
              <w:rPr>
                <w:rFonts w:ascii="Arial" w:eastAsia="Arial" w:hAnsi="Arial" w:cs="Arial"/>
                <w:b/>
                <w:i w:val="0"/>
                <w:strike w:val="0"/>
                <w:color w:val="E7E6E6"/>
                <w:sz w:val="13"/>
                <w:u w:val="none"/>
                <w:vertAlign w:val="baseline"/>
              </w:rPr>
              <w:t>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7E6E6"/>
                <w:sz w:val="13"/>
                <w:u w:val="none"/>
                <w:vertAlign w:val="baseline"/>
              </w:rPr>
            </w:pPr>
            <w:r>
              <w:rPr>
                <w:rFonts w:ascii="Arial" w:eastAsia="Arial" w:hAnsi="Arial" w:cs="Arial"/>
                <w:b/>
                <w:i w:val="0"/>
                <w:strike w:val="0"/>
                <w:color w:val="E7E6E6"/>
                <w:sz w:val="13"/>
                <w:u w:val="none"/>
                <w:vertAlign w:val="baseline"/>
              </w:rPr>
              <w:t>0</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CSSC Wärtsilä Engine (Shanghai) Co., Ltd.</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49.0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73</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E7E6E6"/>
                <w:sz w:val="13"/>
                <w:u w:val="none"/>
                <w:vertAlign w:val="baseline"/>
              </w:rPr>
            </w:pPr>
            <w:r>
              <w:rPr>
                <w:rFonts w:ascii="Arial" w:eastAsia="Arial" w:hAnsi="Arial" w:cs="Arial"/>
                <w:b/>
                <w:i w:val="0"/>
                <w:strike w:val="0"/>
                <w:color w:val="E7E6E6"/>
                <w:sz w:val="13"/>
                <w:u w:val="none"/>
                <w:vertAlign w:val="baseline"/>
              </w:rPr>
              <w:t>0</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74</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66</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Repropel Sociedad de reparacao de helices</w:t>
            </w:r>
          </w:p>
        </w:tc>
        <w:tc>
          <w:tcPr>
            <w:tcW w:w="15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Portugal</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50.0</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bl>
    <w:p w:rsidR="00543D58" w:rsidP="00543D58" w14:paraId="6CB1ED6D" w14:textId="77777777">
      <w:pPr>
        <w:pStyle w:val="Bodytext2"/>
        <w:rPr>
          <w:color w:val="0F172B"/>
          <w:szCs w:val="15"/>
          <w:lang w:val="en-GB"/>
        </w:rPr>
      </w:pPr>
    </w:p>
    <w:p w:rsidR="00EC6BDA" w:rsidP="00543D58" w14:paraId="1667D6A9" w14:textId="77777777">
      <w:pPr>
        <w:pStyle w:val="Bodytext2"/>
        <w:rPr>
          <w:color w:val="0F172B"/>
          <w:szCs w:val="15"/>
          <w:lang w:val="en-GB"/>
        </w:rPr>
      </w:pPr>
      <w:r>
        <w:rPr>
          <w:color w:val="0F172B"/>
          <w:szCs w:val="15"/>
          <w:lang w:val="en-GB"/>
        </w:rPr>
        <w:t>CSSC Wärtsilä Engine (Shanghai) Co., Ltd. manufactures medium and large bore medium speed diesel and dual-fuel engines at its factory in Lingang, Shanghai, China. Wärtsilä Hyundai Engine Co Ltd. manufactures Wärtsilä 50DF dual-fuel engines for LNG carriers</w:t>
      </w:r>
      <w:r>
        <w:rPr>
          <w:color w:val="0F172B"/>
          <w:szCs w:val="15"/>
          <w:lang w:val="en-GB"/>
        </w:rPr>
        <w:t xml:space="preserve"> and other marine applications in Mokpo, South Korea. Wärtsilä Qiyao Diesel Company Ltd. manufactures marine auxiliary engines in Shanghai, China. CSSC Wärtsilä Electrical &amp; Automation Co., Ltd. manufactures advanced electronical and automation solutions f</w:t>
      </w:r>
      <w:r>
        <w:rPr>
          <w:color w:val="0F172B"/>
          <w:szCs w:val="15"/>
          <w:lang w:val="en-GB"/>
        </w:rPr>
        <w:t>or the cruise industry.</w:t>
      </w:r>
    </w:p>
    <w:p w:rsidR="00EC6BDA" w:rsidP="00543D58" w14:paraId="09DFD43C" w14:textId="77777777">
      <w:pPr>
        <w:pStyle w:val="Bodytext2"/>
        <w:rPr>
          <w:color w:val="0F172B"/>
          <w:szCs w:val="15"/>
          <w:lang w:val="en-GB"/>
        </w:rPr>
      </w:pPr>
    </w:p>
    <w:p w:rsidR="00543D58" w:rsidP="00543D58" w14:paraId="00EE71CD" w14:textId="28A2D55B">
      <w:pPr>
        <w:pStyle w:val="Bodytext2"/>
        <w:rPr>
          <w:color w:val="0F172B"/>
          <w:szCs w:val="15"/>
          <w:lang w:val="en-GB"/>
        </w:rPr>
      </w:pPr>
      <w:r>
        <w:rPr>
          <w:color w:val="0F172B"/>
          <w:szCs w:val="15"/>
          <w:lang w:val="en-GB"/>
        </w:rPr>
        <w:t>Wärtsilä Hyundai Engine Co Ltd</w:t>
      </w:r>
      <w:r w:rsidR="007D3307">
        <w:rPr>
          <w:color w:val="0F172B"/>
          <w:szCs w:val="15"/>
          <w:lang w:val="en-GB"/>
        </w:rPr>
        <w:t>.</w:t>
      </w:r>
      <w:r>
        <w:rPr>
          <w:color w:val="0F172B"/>
          <w:szCs w:val="15"/>
          <w:lang w:val="en-GB"/>
        </w:rPr>
        <w:t xml:space="preserve"> was disposed on 31</w:t>
      </w:r>
      <w:r w:rsidR="007D3307">
        <w:rPr>
          <w:color w:val="0F172B"/>
          <w:szCs w:val="15"/>
          <w:lang w:val="en-GB"/>
        </w:rPr>
        <w:t xml:space="preserve"> December </w:t>
      </w:r>
      <w:r>
        <w:rPr>
          <w:color w:val="0F172B"/>
          <w:szCs w:val="15"/>
          <w:lang w:val="en-GB"/>
        </w:rPr>
        <w:t>2020. During the financial period</w:t>
      </w:r>
      <w:r w:rsidR="007D3307">
        <w:rPr>
          <w:color w:val="0F172B"/>
          <w:szCs w:val="15"/>
          <w:lang w:val="en-GB"/>
        </w:rPr>
        <w:t>,</w:t>
      </w:r>
      <w:r>
        <w:rPr>
          <w:color w:val="0F172B"/>
          <w:szCs w:val="15"/>
          <w:lang w:val="en-GB"/>
        </w:rPr>
        <w:t xml:space="preserve"> Wärtsilä Land &amp; Sea Academy, Inc</w:t>
      </w:r>
      <w:r w:rsidR="007D3307">
        <w:rPr>
          <w:color w:val="0F172B"/>
          <w:szCs w:val="15"/>
          <w:lang w:val="en-GB"/>
        </w:rPr>
        <w:t>.</w:t>
      </w:r>
      <w:r>
        <w:rPr>
          <w:color w:val="0F172B"/>
          <w:szCs w:val="15"/>
          <w:lang w:val="en-GB"/>
        </w:rPr>
        <w:t xml:space="preserve"> was liquidated, and the shares of Neptun Maritime AS were sold.</w:t>
      </w:r>
    </w:p>
    <w:p w:rsidR="00543D58" w:rsidP="00543D58" w14:paraId="56907B0C" w14:textId="77777777">
      <w:pPr>
        <w:pStyle w:val="Bodytext2"/>
        <w:rPr>
          <w:color w:val="0F172B"/>
          <w:szCs w:val="15"/>
          <w:lang w:val="en-GB"/>
        </w:rPr>
      </w:pPr>
    </w:p>
    <w:p w:rsidR="00543D58" w:rsidP="00543D58" w14:paraId="7FCD5053" w14:textId="77777777">
      <w:pPr>
        <w:pStyle w:val="Heading13"/>
        <w:rPr>
          <w:lang w:val="en-GB"/>
        </w:rPr>
      </w:pPr>
      <w:r>
        <w:rPr>
          <w:lang w:val="en-GB"/>
        </w:rPr>
        <w:t>2019</w:t>
      </w:r>
    </w:p>
    <w:tbl>
      <w:tblPr>
        <w:tblStyle w:val="TableNormal"/>
        <w:tblCaption w:val="table_64_fin_info_pre"/>
        <w:tblW w:w="15420" w:type="dxa"/>
        <w:tblLayout w:type="fixed"/>
        <w:tblLook w:val="0600"/>
      </w:tblPr>
      <w:tblGrid>
        <w:gridCol w:w="4860"/>
        <w:gridCol w:w="1560"/>
        <w:gridCol w:w="1125"/>
        <w:gridCol w:w="1125"/>
        <w:gridCol w:w="1125"/>
        <w:gridCol w:w="1125"/>
        <w:gridCol w:w="1125"/>
        <w:gridCol w:w="1125"/>
        <w:gridCol w:w="1125"/>
        <w:gridCol w:w="1125"/>
      </w:tblGrid>
      <w:tr>
        <w:tblPrEx>
          <w:tblW w:w="15420" w:type="dxa"/>
          <w:tblLayout w:type="fixed"/>
          <w:tblLook w:val="0600"/>
        </w:tblPrEx>
        <w:trPr>
          <w:trHeight w:val="240"/>
        </w:trPr>
        <w:tc>
          <w:tcPr>
            <w:tcW w:w="486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60"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Holding %</w:t>
            </w:r>
          </w:p>
        </w:tc>
        <w:tc>
          <w:tcPr>
            <w:tcW w:w="1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Non-current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1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1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w:t>
            </w:r>
          </w:p>
        </w:tc>
        <w:tc>
          <w:tcPr>
            <w:tcW w:w="1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1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1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Net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sales</w:t>
            </w:r>
          </w:p>
        </w:tc>
        <w:tc>
          <w:tcPr>
            <w:tcW w:w="112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Profit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for 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financial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period</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Joint ventures</w:t>
            </w:r>
          </w:p>
        </w:tc>
        <w:tc>
          <w:tcPr>
            <w:tcW w:w="156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12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Qiyao Diesel Company Ltd.</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Hyundai Engine Co Ltd.</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South Korea</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CSSC Wärtsilä Electrical &amp; Automation Co., Ltd.</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49.0</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CSSC Wärtsilä Engine (Shanghai) Co., Ltd.</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49.0</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77</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76</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78</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860" w:type="dxa"/>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Repropel Sociedad de reparacao de helices</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Portugal</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50.0</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Associated companies</w:t>
            </w:r>
          </w:p>
        </w:tc>
        <w:tc>
          <w:tcPr>
            <w:tcW w:w="156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Land &amp; Sea Academy, Inc.</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Philippines</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40.0</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860"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Neptun Maritime AS</w:t>
            </w:r>
          </w:p>
        </w:tc>
        <w:tc>
          <w:tcPr>
            <w:tcW w:w="156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Norway</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40.0</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12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bl>
    <w:p w:rsidR="00EE2838" w:rsidP="00543D58" w14:paraId="57D70263" w14:textId="436CAD67">
      <w:pPr>
        <w:pStyle w:val="Bodytext2"/>
        <w:rPr>
          <w:color w:val="0F172B"/>
          <w:szCs w:val="15"/>
          <w:lang w:val="en-GB"/>
        </w:rPr>
        <w:sectPr w:rsidSect="00725352">
          <w:type w:val="continuous"/>
          <w:pgSz w:w="16838" w:h="11906" w:orient="landscape"/>
          <w:pgMar w:top="1814" w:right="737" w:bottom="1247" w:left="737" w:header="720" w:footer="720" w:gutter="0"/>
          <w:pgBorders w:zOrder="front" w:display="allPages" w:offsetFrom="text">
            <w:top w:val="nil"/>
            <w:left w:val="nil"/>
            <w:bottom w:val="nil"/>
            <w:right w:val="nil"/>
          </w:pgBorders>
          <w:cols w:space="720"/>
          <w:vAlign w:val="top"/>
          <w:titlePg w:val="0"/>
          <w:rtlGutter w:val="0"/>
        </w:sectPr>
      </w:pPr>
    </w:p>
    <w:p w:rsidR="00543D58" w:rsidRPr="00FD7763" w:rsidP="00543D58" w14:paraId="6E83696E" w14:textId="77777777">
      <w:pPr>
        <w:pStyle w:val="Bodytext2"/>
        <w:rPr>
          <w:color w:val="0F172B"/>
          <w:sz w:val="2"/>
          <w:szCs w:val="2"/>
          <w:lang w:val="en-GB"/>
        </w:rPr>
        <w:sectPr w:rsidSect="00BF5950">
          <w:headerReference w:type="even" r:id="rId52"/>
          <w:headerReference w:type="default" r:id="rId53"/>
          <w:footerReference w:type="even" r:id="rId54"/>
          <w:footerReference w:type="default" r:id="rId55"/>
          <w:headerReference w:type="first" r:id="rId56"/>
          <w:footerReference w:type="first" r:id="rId57"/>
          <w:type w:val="continuous"/>
          <w:pgSz w:w="16838" w:h="11906" w:orient="landscape"/>
          <w:pgMar w:top="1814" w:right="737" w:bottom="1247" w:left="737" w:header="720" w:footer="720" w:gutter="0"/>
          <w:pgBorders w:zOrder="front" w:display="allPages" w:offsetFrom="text">
            <w:top w:val="nil"/>
            <w:left w:val="nil"/>
            <w:bottom w:val="nil"/>
            <w:right w:val="nil"/>
          </w:pgBorders>
          <w:cols w:space="720"/>
          <w:vAlign w:val="top"/>
          <w:titlePg w:val="0"/>
          <w:rtlGutter w:val="0"/>
          <w:docGrid w:linePitch="360"/>
        </w:sectPr>
      </w:pPr>
      <w:r>
        <w:t xml:space="preserve"> </w:t>
      </w:r>
    </w:p>
    <w:p w:rsidR="00324119" w:rsidP="00324119" w14:paraId="5F903803" w14:textId="77777777">
      <w:pPr>
        <w:pStyle w:val="Heading12"/>
        <w:pageBreakBefore/>
      </w:pPr>
      <w:bookmarkStart w:id="1198" w:name="RG_MARKER_4166"/>
      <w:r>
        <w:t>6.5. SUBSIDIARIES</w:t>
      </w:r>
      <w:bookmarkEnd w:id="1198"/>
    </w:p>
    <w:tbl>
      <w:tblPr>
        <w:tblStyle w:val="TableGrid"/>
        <w:tblW w:w="7371" w:type="dxa"/>
        <w:tblLook w:val="04A0"/>
      </w:tblPr>
      <w:tblGrid>
        <w:gridCol w:w="7371"/>
      </w:tblGrid>
      <w:tr w14:paraId="5339F151" w14:textId="77777777" w:rsidTr="00324119">
        <w:tblPrEx>
          <w:tblW w:w="7371" w:type="dxa"/>
          <w:tblLook w:val="04A0"/>
        </w:tblPrEx>
        <w:tc>
          <w:tcPr>
            <w:tcW w:w="7371" w:type="dxa"/>
            <w:tcBorders>
              <w:top w:val="nil"/>
              <w:left w:val="nil"/>
              <w:bottom w:val="nil"/>
              <w:right w:val="nil"/>
            </w:tcBorders>
            <w:shd w:val="clear" w:color="auto" w:fill="B6C8D1"/>
          </w:tcPr>
          <w:p w:rsidR="00324119" w:rsidRPr="00C4573C" w:rsidP="00324119" w14:paraId="3AC1C034" w14:textId="77777777">
            <w:pPr>
              <w:pStyle w:val="Heading13"/>
              <w:rPr>
                <w:lang w:val="en-GB"/>
              </w:rPr>
            </w:pPr>
            <w:r w:rsidRPr="00C4573C">
              <w:rPr>
                <w:lang w:val="en-GB"/>
              </w:rPr>
              <w:t>Accounting principles</w:t>
            </w:r>
          </w:p>
          <w:p w:rsidR="00324119" w:rsidRPr="0049797B" w:rsidP="0049797B" w14:paraId="35F7610F" w14:textId="77777777">
            <w:pPr>
              <w:pStyle w:val="Bodytext2"/>
            </w:pPr>
            <w:r w:rsidRPr="0049797B">
              <w:t>The consolidated financial</w:t>
            </w:r>
            <w:r w:rsidRPr="0049797B">
              <w:t xml:space="preserve"> statements include the parent company Wärtsilä Corporation and all subsidiaries over which the Group has control. The Group controls an entity when the Group is exposed to, or has rights to, variable returns from its involvement with the entity and has th</w:t>
            </w:r>
            <w:r w:rsidRPr="0049797B">
              <w:t>e ability to affect those returns through its power to direct the activities of the entity. When the Group has less than a majority of voting or similar rights in an entity, the Group considers all relevant facts and circumstances in assessing whether it h</w:t>
            </w:r>
            <w:r w:rsidRPr="0049797B">
              <w:t>as power over an entity, including the contractual arrangements, voting rights, and potential voting rights. The Group reassesses whether or not it controls an entity if facts and circumstances indicate that there are changes to the elements of control.</w:t>
            </w:r>
          </w:p>
          <w:p w:rsidR="00324119" w:rsidRPr="0049797B" w:rsidP="0049797B" w14:paraId="6E5351F1" w14:textId="77777777">
            <w:pPr>
              <w:pStyle w:val="Bodytext2"/>
            </w:pPr>
          </w:p>
          <w:p w:rsidR="00324119" w:rsidP="0049797B" w14:paraId="0D7B6E0F" w14:textId="77777777">
            <w:pPr>
              <w:pStyle w:val="Bodytext2"/>
              <w:rPr>
                <w:lang w:val="en-GB"/>
              </w:rPr>
            </w:pPr>
            <w:r w:rsidRPr="0049797B">
              <w:t>T</w:t>
            </w:r>
            <w:r w:rsidRPr="0049797B">
              <w:t>he financial information from subsidiaries in countries with hyperinflation are adjusted according to IAS 29, when the impact of the hyperinflation is considered material for the consolidated financial statements.</w:t>
            </w:r>
          </w:p>
        </w:tc>
      </w:tr>
    </w:tbl>
    <w:p w:rsidR="00324119" w:rsidP="00324119" w14:paraId="70EB8F48" w14:textId="77777777">
      <w:pPr>
        <w:pStyle w:val="Bodytext2"/>
        <w:rPr>
          <w:color w:val="0F172B"/>
          <w:szCs w:val="15"/>
          <w:lang w:val="en-GB"/>
        </w:rPr>
      </w:pPr>
    </w:p>
    <w:tbl>
      <w:tblPr>
        <w:tblStyle w:val="TableNormal"/>
        <w:tblCaption w:val="table_65"/>
        <w:tblW w:w="7335" w:type="dxa"/>
        <w:tblLayout w:type="fixed"/>
        <w:tblLook w:val="0600"/>
      </w:tblPr>
      <w:tblGrid>
        <w:gridCol w:w="870"/>
        <w:gridCol w:w="2970"/>
        <w:gridCol w:w="1125"/>
        <w:gridCol w:w="1860"/>
        <w:gridCol w:w="510"/>
      </w:tblGrid>
      <w:tr>
        <w:tblPrEx>
          <w:tblW w:w="7335" w:type="dxa"/>
          <w:tblLayout w:type="fixed"/>
          <w:tblLook w:val="0600"/>
        </w:tblPrEx>
        <w:trPr>
          <w:trHeight w:val="240"/>
        </w:trPr>
        <w:tc>
          <w:tcPr>
            <w:tcW w:w="87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Geo-</w:t>
            </w:r>
          </w:p>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graph-</w:t>
            </w:r>
          </w:p>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ical </w:t>
            </w:r>
          </w:p>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area</w:t>
            </w:r>
          </w:p>
        </w:tc>
        <w:tc>
          <w:tcPr>
            <w:tcW w:w="297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Company name </w:t>
            </w:r>
          </w:p>
        </w:tc>
        <w:tc>
          <w:tcPr>
            <w:tcW w:w="112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Location</w:t>
            </w:r>
          </w:p>
        </w:tc>
        <w:tc>
          <w:tcPr>
            <w:tcW w:w="186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Activities</w:t>
            </w:r>
          </w:p>
        </w:tc>
        <w:tc>
          <w:tcPr>
            <w:tcW w:w="51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Share %</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Europe</w:t>
            </w:r>
          </w:p>
        </w:tc>
        <w:tc>
          <w:tcPr>
            <w:tcW w:w="297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Cyprus Limited</w:t>
            </w:r>
          </w:p>
        </w:tc>
        <w:tc>
          <w:tcPr>
            <w:tcW w:w="112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Cyprus</w:t>
            </w:r>
          </w:p>
        </w:tc>
        <w:tc>
          <w:tcPr>
            <w:tcW w:w="186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Danmark 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Denmark</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Lyngsø Marine 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Denmark</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Puregas Solutions 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Denmark</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BLRT Estonia Oü</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Estonia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51.7</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Eniram Oy</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Finland Oy</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Projects Oy</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Solutions Oy</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Technology Oy Ab</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Holding</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France S.A.S.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France</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Mediterranean SAS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France</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Deutschland GmbH</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Germany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Funa International GmbH</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Germany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SAM Electronics GmbH</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Germany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Germany GmbH</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Germany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Serck Como GmbH</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Germany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Guidance Marine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United Kingdom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Puregas Solutions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United Kingdom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UK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United Kingdom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UK Limited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United Kingdom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Ships Electronic Services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United Kingdom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Greenham Regis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United Kingdom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Water Systems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United Kingdom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Defence Solutions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United Kingdom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Greece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Greece</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Hungary Kft</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Hungary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Investments Unlimited Company</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Ireland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Transas New Building Limited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Ireland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Limited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Ireland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APSS Srl</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Italy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Italia S.p.A.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Italy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Trident Italia Srl</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Italy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Moss 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Norway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Norway 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Norway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Gas Solutions Norway 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Norway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Valmarine 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Norway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Baltic Design Centre Sp.z.o.o.</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Polska Sp.z.o.o.</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Poland sp. z.o.o.</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Portugal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Portugal</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Vostok, LLC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Russia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Transas Navigator Ltd. </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Russia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Digital Technologies, JSC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Russia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Ibérica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Spain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Burriel Navarro S.L.</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Spain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Trident Las Palmas S.L.</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Spain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Sweden AB</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Sweden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Sweden AB</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Sweden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Services Switzerland AG</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Switzerland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Quantiparts B.V.</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Netherlands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Netherlands B.V.</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Netherlands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Trident B.V.</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Netherlands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Netherlands BV</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Netherlands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The Americas</w:t>
            </w: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Argentina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Argentina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Brasil Ltda.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Brazil</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Canada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Canada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Chile Ltda.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Chile</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Colombia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Colombia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Dominicana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Dominican Republic</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Ecuador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Ecuador</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Guatemala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Guatemala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Operations Guyana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Guyana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de Mexico S.A. de C.V.</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Mexico</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Panama Services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Panama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Peru S.A.C.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Peru</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Caribbean,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Puerto Rico</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Uruguay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Uruguay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American Hydro Corporation</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Guidance Marine LLC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Defence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Dynamic Positioning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North America,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LOCK-N-STITCH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Wartsila Voyage Americas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Asia</w:t>
            </w: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PT. Wärtsilä Indonesia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Indonesia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Azerbaijan LLC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Azerbaijan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Bangladesh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Bangladesh</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SAM Electronics (Taizhou) Co.,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Propulsion (Wuxi) Co.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Services (Shanghai) Co.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Ship Design (Shanghai) Co.,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Suzhou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Wärtsilä-CME Zhenjiang Propeller Co.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China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55.0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(Shanghai) Co.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Hong Kong</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China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Hong Kong</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Wärtsila India Private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India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Japan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Japan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Production, 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Malaysia Sdn. Bhd.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Malaysia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Myanmar</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Myanmar</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Pakistan (Pvt.)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Pakistan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Philippines Inc.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Philippines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Doha L.L.C.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Qatar</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Power Contracting Company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Saudi Arabia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Guidance Marine Pte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Singapore</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Singapore Pte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Singapore</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Voyage Pacific Pte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Singapore</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Korea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South Korea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Lanka (PVT)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Sri Lanka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Taiwan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Taiwan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Wärtsilä-Enpa A.S.</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Turkey</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Gulf FZE</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United Arab Emirates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Hamworthy Middle East (FZE)</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United Arab Emirates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LLC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United Arab Emirates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Ships Repairing &amp; Maintenance LLC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United Arab Emirates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Wärtsilä Voyage Middle East DMCEST </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United Arab Emirates</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(Vietnam) Company Limited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Vietnam</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Australia Pty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Australia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Burkina Faso</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Burkina Faso</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Central Africa Plc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Cameroon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Egypt Power S.A.E</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Egypt</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Central Africa Gabon</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Gabon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West Africa Guinea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Guinea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Eastern Africa Limited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Kenya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Mauritanie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Mauritania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Mocambique LDA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Mozambique</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Muscat LLC</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Oman</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New Zealand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New Zealand</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Marine &amp; Power Services Nigeria Limited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Nigeria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PNG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Papua New Guinea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West Africa S.A.</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Senegal</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Southern Africa (Pty)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South Africa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Tanzania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Tanzania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r>
        <w:tblPrEx>
          <w:tblW w:w="7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87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9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Wärtsilä Uganda Ltd.</w:t>
            </w:r>
          </w:p>
        </w:tc>
        <w:tc>
          <w:tcPr>
            <w:tcW w:w="112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Uganda</w:t>
            </w:r>
          </w:p>
        </w:tc>
        <w:tc>
          <w:tcPr>
            <w:tcW w:w="186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and services</w:t>
            </w:r>
          </w:p>
        </w:tc>
        <w:tc>
          <w:tcPr>
            <w:tcW w:w="5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100.0</w:t>
            </w:r>
          </w:p>
        </w:tc>
      </w:tr>
    </w:tbl>
    <w:p w:rsidR="00324119" w:rsidP="00324119" w14:paraId="3D020704" w14:textId="77777777">
      <w:pPr>
        <w:pStyle w:val="Bodytext2"/>
        <w:rPr>
          <w:color w:val="0F172B"/>
          <w:szCs w:val="15"/>
          <w:lang w:val="en-GB"/>
        </w:rPr>
      </w:pPr>
    </w:p>
    <w:p w:rsidR="00324119" w:rsidRPr="0049797B" w:rsidP="0049797B" w14:paraId="11D3EC63" w14:textId="77777777">
      <w:pPr>
        <w:pStyle w:val="Bodytext2"/>
      </w:pPr>
      <w:r w:rsidRPr="0049797B">
        <w:t>Non-controlling interests</w:t>
      </w:r>
      <w:r w:rsidRPr="0049797B">
        <w:t xml:space="preserve"> are not significant in the Group's activities and cash flows in individual subsidiaries.</w:t>
      </w:r>
    </w:p>
    <w:p w:rsidR="00324119" w:rsidRPr="0049797B" w:rsidP="0049797B" w14:paraId="0A2053D5" w14:textId="77777777">
      <w:pPr>
        <w:pStyle w:val="Bodytext2"/>
      </w:pPr>
    </w:p>
    <w:p w:rsidR="00324119" w:rsidRPr="0049797B" w:rsidP="0049797B" w14:paraId="153CB8E5" w14:textId="694D8580">
      <w:pPr>
        <w:pStyle w:val="Bodytext2"/>
      </w:pPr>
      <w:r w:rsidRPr="0049797B">
        <w:t>The list excludes subsidiaries, which do not have a significant impact on the profit or assets of the Group. A complete list of shares and securities in accordance w</w:t>
      </w:r>
      <w:r w:rsidRPr="0049797B">
        <w:t>ith the Finnish Accounting Ordinance is included in the official financial statements of the parent company prepared in accordance with the Finnish Accounting Standards (FAS).</w:t>
      </w:r>
    </w:p>
    <w:p/>
    <w:p w:rsidR="00E57F50" w:rsidP="00E57F50" w14:paraId="66795492" w14:textId="6008442A">
      <w:pPr>
        <w:pStyle w:val="Heading12"/>
      </w:pPr>
      <w:bookmarkStart w:id="1199" w:name="_Hlk59908343"/>
      <w:bookmarkStart w:id="1200" w:name="RG_MARKER_4167"/>
      <w:r>
        <w:t>6.6. EXCHANGE RATES</w:t>
      </w:r>
      <w:bookmarkEnd w:id="1200"/>
    </w:p>
    <w:tbl>
      <w:tblPr>
        <w:tblStyle w:val="TableGrid"/>
        <w:tblW w:w="7371" w:type="dxa"/>
        <w:tblLook w:val="04A0"/>
      </w:tblPr>
      <w:tblGrid>
        <w:gridCol w:w="7371"/>
      </w:tblGrid>
      <w:tr w14:paraId="736DDCFC" w14:textId="77777777" w:rsidTr="00E57F50">
        <w:tblPrEx>
          <w:tblW w:w="7371" w:type="dxa"/>
          <w:tblLook w:val="04A0"/>
        </w:tblPrEx>
        <w:tc>
          <w:tcPr>
            <w:tcW w:w="7371" w:type="dxa"/>
            <w:tcBorders>
              <w:top w:val="nil"/>
              <w:left w:val="nil"/>
              <w:bottom w:val="nil"/>
              <w:right w:val="nil"/>
            </w:tcBorders>
            <w:shd w:val="clear" w:color="auto" w:fill="B6C8D1"/>
          </w:tcPr>
          <w:p w:rsidR="00E57F50" w:rsidRPr="00601C87" w:rsidP="00E57F50" w14:paraId="57AE495E" w14:textId="77777777">
            <w:pPr>
              <w:pStyle w:val="Heading13"/>
              <w:rPr>
                <w:lang w:val="en-GB"/>
              </w:rPr>
            </w:pPr>
            <w:r w:rsidRPr="00155612">
              <w:rPr>
                <w:lang w:val="en-GB"/>
              </w:rPr>
              <w:t>Accounting principles</w:t>
            </w:r>
          </w:p>
          <w:p w:rsidR="00E57F50" w:rsidRPr="00601C87" w:rsidP="00E57F50" w14:paraId="54417D4E" w14:textId="77777777">
            <w:pPr>
              <w:pStyle w:val="Heading13"/>
              <w:rPr>
                <w:color w:val="0F172B"/>
                <w:lang w:val="en-GB"/>
              </w:rPr>
            </w:pPr>
            <w:r w:rsidRPr="00601C87">
              <w:rPr>
                <w:color w:val="0F172B"/>
                <w:lang w:val="en-GB"/>
              </w:rPr>
              <w:t>Translating the transactions in foreign currencies</w:t>
            </w:r>
          </w:p>
          <w:p w:rsidR="00E57F50" w:rsidRPr="000F33EA" w:rsidP="000F33EA" w14:paraId="6F70F139" w14:textId="77777777">
            <w:pPr>
              <w:pStyle w:val="Bodytext2"/>
              <w:rPr>
                <w:lang w:val="en-GB"/>
              </w:rPr>
            </w:pPr>
            <w:r w:rsidRPr="000F33EA">
              <w:rPr>
                <w:lang w:val="en-GB"/>
              </w:rPr>
              <w:t>The items included in the financial statements are initially recognised in the functional currency, which is defined for each Group company based on its primary economic environment. The presentation currency of the consolidated financial statements is the</w:t>
            </w:r>
            <w:r w:rsidRPr="000F33EA">
              <w:rPr>
                <w:lang w:val="en-GB"/>
              </w:rPr>
              <w:t xml:space="preserve"> euro, which is also the functional and presentation currency of Wärtsilä Corporation.</w:t>
            </w:r>
          </w:p>
          <w:p w:rsidR="00E57F50" w:rsidRPr="00601C87" w:rsidP="00E57F50" w14:paraId="5AE31A61" w14:textId="77777777">
            <w:pPr>
              <w:pStyle w:val="Bodytext2"/>
              <w:rPr>
                <w:color w:val="0F172B"/>
                <w:lang w:val="en-GB"/>
              </w:rPr>
            </w:pPr>
          </w:p>
          <w:p w:rsidR="00E57F50" w:rsidRPr="00601C87" w:rsidP="00E57F50" w14:paraId="5577F30C" w14:textId="77777777">
            <w:pPr>
              <w:pStyle w:val="Heading13"/>
              <w:rPr>
                <w:lang w:val="en-GB"/>
              </w:rPr>
            </w:pPr>
            <w:r w:rsidRPr="00601C87">
              <w:rPr>
                <w:lang w:val="en-GB"/>
              </w:rPr>
              <w:t>Foreign subsidiaries</w:t>
            </w:r>
          </w:p>
          <w:p w:rsidR="00E57F50" w:rsidRPr="00FF12E6" w:rsidP="000F33EA" w14:paraId="75B3FE34" w14:textId="6E0A3717">
            <w:pPr>
              <w:pStyle w:val="Bodytext2"/>
              <w:rPr>
                <w:lang w:val="en-GB"/>
              </w:rPr>
            </w:pPr>
            <w:r w:rsidRPr="00FF12E6">
              <w:rPr>
                <w:lang w:val="en-GB"/>
              </w:rPr>
              <w:t>The income and expenses for statements of income and statements of comprehensive income of foreign subsidiaries are translated into euros at the qu</w:t>
            </w:r>
            <w:r w:rsidRPr="00FF12E6">
              <w:rPr>
                <w:lang w:val="en-GB"/>
              </w:rPr>
              <w:t xml:space="preserve">arterly average exchange rates. Statements of financial position are translated into euros at the exchange rates prevailing at the end of the </w:t>
            </w:r>
            <w:r>
              <w:rPr>
                <w:lang w:val="en-GB"/>
              </w:rPr>
              <w:t>reporting</w:t>
            </w:r>
            <w:r w:rsidRPr="00FF12E6">
              <w:rPr>
                <w:lang w:val="en-GB"/>
              </w:rPr>
              <w:t xml:space="preserve"> period. The translation of the profit for the </w:t>
            </w:r>
            <w:r>
              <w:rPr>
                <w:lang w:val="en-GB"/>
              </w:rPr>
              <w:t>reporting</w:t>
            </w:r>
            <w:r w:rsidRPr="00FF12E6">
              <w:rPr>
                <w:lang w:val="en-GB"/>
              </w:rPr>
              <w:t xml:space="preserve"> period and other comprehensive income using diff</w:t>
            </w:r>
            <w:r w:rsidRPr="00FF12E6">
              <w:rPr>
                <w:lang w:val="en-GB"/>
              </w:rPr>
              <w:t>erent exchange rates in the statement of comprehensive income and the statement of financial position causes translation differences, which are recognised in equity and in other comprehensive income as change. Translation differences of foreign subsidiarie</w:t>
            </w:r>
            <w:r w:rsidRPr="00FF12E6">
              <w:rPr>
                <w:lang w:val="en-GB"/>
              </w:rPr>
              <w:t>s’ acquisition cost eliminations and post-acquisition profits and losses are recognised in other comprehensive income and are presented as a separate item in equity. The goodwill generated in the acquisition of foreign entities and their fair value adjustm</w:t>
            </w:r>
            <w:r w:rsidRPr="00FF12E6">
              <w:rPr>
                <w:lang w:val="en-GB"/>
              </w:rPr>
              <w:t xml:space="preserve">ents of assets and liabilities are considered as assets and liabilities of foreign entities, which are translated into euros using the exchange rates prevailing at the end of the </w:t>
            </w:r>
            <w:r>
              <w:rPr>
                <w:lang w:val="en-GB"/>
              </w:rPr>
              <w:t>reporting</w:t>
            </w:r>
            <w:r w:rsidRPr="00FF12E6">
              <w:rPr>
                <w:lang w:val="en-GB"/>
              </w:rPr>
              <w:t xml:space="preserve"> period. When a foreign subsidiary is sold, the accumulated exchange</w:t>
            </w:r>
            <w:r w:rsidRPr="00FF12E6">
              <w:rPr>
                <w:lang w:val="en-GB"/>
              </w:rPr>
              <w:t xml:space="preserve"> rate differences recognised in the equity related to the subsidiary are recognised in the statement of income as a part of the gain or loss on sale.</w:t>
            </w:r>
          </w:p>
          <w:p w:rsidR="00E57F50" w:rsidRPr="00601C87" w:rsidP="00E57F50" w14:paraId="152C11D8" w14:textId="77777777">
            <w:pPr>
              <w:pStyle w:val="Bodytext2"/>
              <w:rPr>
                <w:color w:val="0F172B"/>
                <w:lang w:val="en-GB"/>
              </w:rPr>
            </w:pPr>
          </w:p>
          <w:p w:rsidR="00E57F50" w:rsidRPr="00601C87" w:rsidP="00E57F50" w14:paraId="56B5562C" w14:textId="77777777">
            <w:pPr>
              <w:pStyle w:val="Heading13"/>
              <w:rPr>
                <w:lang w:val="en-GB"/>
              </w:rPr>
            </w:pPr>
            <w:r w:rsidRPr="00601C87">
              <w:rPr>
                <w:lang w:val="en-GB"/>
              </w:rPr>
              <w:t>Transactions and balances in foreign currencies</w:t>
            </w:r>
          </w:p>
          <w:p w:rsidR="00E57F50" w:rsidRPr="00FF12E6" w:rsidP="000F33EA" w14:paraId="05B7B380" w14:textId="4E482FE2">
            <w:pPr>
              <w:pStyle w:val="Bodytext2"/>
              <w:rPr>
                <w:lang w:val="en-GB"/>
              </w:rPr>
            </w:pPr>
            <w:r w:rsidRPr="00FF12E6">
              <w:rPr>
                <w:lang w:val="en-GB"/>
              </w:rPr>
              <w:t>Transactions denominated in a foreign currency are transl</w:t>
            </w:r>
            <w:r w:rsidRPr="00FF12E6">
              <w:rPr>
                <w:lang w:val="en-GB"/>
              </w:rPr>
              <w:t xml:space="preserve">ated into the functional currency using the exchange rate prevailing at the dates of the transactions. Receivables and liabilities are translated at the exchange rate prevailing at the end of the </w:t>
            </w:r>
            <w:r>
              <w:rPr>
                <w:lang w:val="en-GB"/>
              </w:rPr>
              <w:t>reporting</w:t>
            </w:r>
            <w:r w:rsidRPr="00FF12E6">
              <w:rPr>
                <w:lang w:val="en-GB"/>
              </w:rPr>
              <w:t xml:space="preserve"> period. Exchange rate gains and losses related to </w:t>
            </w:r>
            <w:r w:rsidRPr="00FF12E6">
              <w:rPr>
                <w:lang w:val="en-GB"/>
              </w:rPr>
              <w:t>trade receivables and liabilities are reported on the applicable line in the statement of income and are included in the operating result. Exchange rate differences related to financial assets and financial liabilities are reported as financial items in th</w:t>
            </w:r>
            <w:r w:rsidRPr="00FF12E6">
              <w:rPr>
                <w:lang w:val="en-GB"/>
              </w:rPr>
              <w:t>e statement of income, except exchange rate differences related to non-current debt that is part of the Group's net investment in a subsidiary. Those are recognised in other comprehensive income and reported as translation differences in equity.</w:t>
            </w:r>
          </w:p>
        </w:tc>
      </w:tr>
    </w:tbl>
    <w:p w:rsidR="00E57F50" w:rsidP="00E57F50" w14:paraId="58C3A52F" w14:textId="77777777">
      <w:pPr>
        <w:pStyle w:val="Bodytext2"/>
        <w:rPr>
          <w:color w:val="0F172B"/>
        </w:rPr>
      </w:pPr>
    </w:p>
    <w:p w:rsidR="00E57F50" w:rsidRPr="000F33EA" w:rsidP="000F33EA" w14:paraId="64A4DCCE" w14:textId="77777777">
      <w:pPr>
        <w:pStyle w:val="Bodytext2"/>
      </w:pPr>
      <w:r w:rsidRPr="000F33EA">
        <w:t>In the c</w:t>
      </w:r>
      <w:r w:rsidRPr="000F33EA">
        <w:t>onsolidated financial statements, there are approximately 60 currencies consolidated. The most significant currencies are presented here.</w:t>
      </w:r>
    </w:p>
    <w:p w:rsidR="00E57F50" w:rsidP="00E57F50" w14:paraId="23B7B7C9" w14:textId="77777777">
      <w:pPr>
        <w:pStyle w:val="Bodytext2"/>
        <w:rPr>
          <w:color w:val="0F172B"/>
        </w:rPr>
      </w:pPr>
    </w:p>
    <w:tbl>
      <w:tblPr>
        <w:tblStyle w:val="TableNormal"/>
        <w:tblCaption w:val="table_66"/>
        <w:tblW w:w="7320" w:type="dxa"/>
        <w:tblLayout w:type="fixed"/>
        <w:tblLook w:val="0600"/>
      </w:tblPr>
      <w:tblGrid>
        <w:gridCol w:w="690"/>
        <w:gridCol w:w="1770"/>
        <w:gridCol w:w="1215"/>
        <w:gridCol w:w="1215"/>
        <w:gridCol w:w="1215"/>
        <w:gridCol w:w="1215"/>
      </w:tblGrid>
      <w:tr>
        <w:tblPrEx>
          <w:tblW w:w="7320" w:type="dxa"/>
          <w:tblLayout w:type="fixed"/>
          <w:tblLook w:val="0600"/>
        </w:tblPrEx>
        <w:trPr>
          <w:trHeight w:val="300"/>
        </w:trPr>
        <w:tc>
          <w:tcPr>
            <w:tcW w:w="690"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770"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430" w:type="dxa"/>
            <w:gridSpan w:val="2"/>
            <w:tcBorders>
              <w:top w:val="nil"/>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Closing rates</w:t>
            </w:r>
          </w:p>
        </w:tc>
        <w:tc>
          <w:tcPr>
            <w:tcW w:w="2430" w:type="dxa"/>
            <w:gridSpan w:val="2"/>
            <w:tcBorders>
              <w:top w:val="nil"/>
              <w:left w:val="nil"/>
              <w:bottom w:val="nil"/>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Average rates</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55"/>
        </w:trPr>
        <w:tc>
          <w:tcPr>
            <w:tcW w:w="69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770"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1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 December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1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31 December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121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1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69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AED</w:t>
            </w:r>
          </w:p>
        </w:tc>
        <w:tc>
          <w:tcPr>
            <w:tcW w:w="177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UAE Dirham</w:t>
            </w:r>
          </w:p>
        </w:tc>
        <w:tc>
          <w:tcPr>
            <w:tcW w:w="121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4.50689</w:t>
            </w:r>
          </w:p>
        </w:tc>
        <w:tc>
          <w:tcPr>
            <w:tcW w:w="121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4.12602</w:t>
            </w:r>
          </w:p>
        </w:tc>
        <w:tc>
          <w:tcPr>
            <w:tcW w:w="121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4.19169</w:t>
            </w:r>
          </w:p>
        </w:tc>
        <w:tc>
          <w:tcPr>
            <w:tcW w:w="121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4.11203</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69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AUD</w:t>
            </w:r>
          </w:p>
        </w:tc>
        <w:tc>
          <w:tcPr>
            <w:tcW w:w="177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Australian Dollar</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1.58960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1.59950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1.65540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1.61059</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BRL</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Brazilian Real</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6.37350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4.51570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5.89001</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4.41354</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CHF</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Swiss Franc</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1.08020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1.08540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1.07031</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1.11683</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CNY</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Yuan Renminbi</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8.02250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7.82050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7.87084</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7.73388</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DKK</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Danish Krone</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7.44090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7.47150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7.45440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7.46607</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GBP</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Pound Sterling</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0.89903</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0.85080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0.88921</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0.87731</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IDR</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Indonesian Rupiah</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17,240.76000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15,595.60000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16,619.78000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15,835.95000</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INR</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Indian Rupee</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89.66050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80.18700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84.57954</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78.85014</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JPY</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Yen</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126.49000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121.94000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121.77545</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122.05637</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NOK</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Norwegian Krone</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10.47030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9.86380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10.72476</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9.84967</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RUB</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Russian Ruble</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91.46710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69.95630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82.64545</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72.45934</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SAR</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Saudi Riyal</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4.60347</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4.21365</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4.28208</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4.19884</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SEK</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Swedish Krona</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10.03430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10.44680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10.48813</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10.58666</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SGD</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Singapore Dollar</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1.62180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1.51110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1.57357</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1.52721</w:t>
            </w:r>
          </w:p>
        </w:tc>
      </w:tr>
      <w:tr>
        <w:tblPrEx>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USD</w:t>
            </w:r>
          </w:p>
        </w:tc>
        <w:tc>
          <w:tcPr>
            <w:tcW w:w="177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US Dollar</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1.22710</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1.12340</w:t>
            </w:r>
          </w:p>
        </w:tc>
        <w:tc>
          <w:tcPr>
            <w:tcW w:w="12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1.14128</w:t>
            </w:r>
          </w:p>
        </w:tc>
        <w:tc>
          <w:tcPr>
            <w:tcW w:w="12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1.11960</w:t>
            </w:r>
          </w:p>
        </w:tc>
      </w:tr>
    </w:tbl>
    <w:p w:rsidR="00E57F50" w:rsidRPr="00601C87" w:rsidP="00BA38AE" w14:paraId="4E5BB59C" w14:textId="00DB9A71">
      <w:pPr>
        <w:pStyle w:val="Bodytext2"/>
        <w:rPr>
          <w:color w:val="auto"/>
          <w:sz w:val="2"/>
          <w:szCs w:val="2"/>
        </w:rPr>
      </w:pPr>
      <w:r>
        <w:rPr>
          <w:color w:val="0F172B"/>
        </w:rPr>
        <w:br w:type="column"/>
      </w:r>
      <w:bookmarkEnd w:id="1199"/>
    </w:p>
    <w:p w:rsidR="00520D95" w:rsidP="00520D95" w14:paraId="5E9064C0" w14:textId="77777777">
      <w:pPr>
        <w:pStyle w:val="Heading11"/>
      </w:pPr>
      <w:bookmarkStart w:id="1201" w:name="RG_MARKER_4159"/>
      <w:bookmarkStart w:id="1202" w:name="RG_MARKER_3739"/>
      <w:r>
        <w:t>7. OTHER NOTES</w:t>
      </w:r>
      <w:bookmarkEnd w:id="1202"/>
      <w:bookmarkEnd w:id="1201"/>
    </w:p>
    <w:p w:rsidR="00520D95" w:rsidP="00520D95" w14:paraId="1C7ED47C" w14:textId="310E1B33">
      <w:pPr>
        <w:pStyle w:val="Heading12"/>
      </w:pPr>
      <w:r>
        <w:t>7.1. COLLATERAL, CONTINGENT LIABILITIES, AND OTHER COMMITMENTS</w:t>
      </w:r>
    </w:p>
    <w:tbl>
      <w:tblPr>
        <w:tblStyle w:val="TableGrid"/>
        <w:tblW w:w="7371" w:type="dxa"/>
        <w:tblLook w:val="04A0"/>
      </w:tblPr>
      <w:tblGrid>
        <w:gridCol w:w="7371"/>
      </w:tblGrid>
      <w:tr w14:paraId="0282BD5F" w14:textId="77777777" w:rsidTr="00520D95">
        <w:tblPrEx>
          <w:tblW w:w="7371" w:type="dxa"/>
          <w:tblLook w:val="04A0"/>
        </w:tblPrEx>
        <w:tc>
          <w:tcPr>
            <w:tcW w:w="7371" w:type="dxa"/>
            <w:tcBorders>
              <w:top w:val="nil"/>
              <w:left w:val="nil"/>
              <w:bottom w:val="nil"/>
              <w:right w:val="nil"/>
            </w:tcBorders>
            <w:shd w:val="clear" w:color="auto" w:fill="B6C8D1"/>
            <w:hideMark/>
          </w:tcPr>
          <w:p w:rsidR="00520D95" w:rsidRPr="00BC1BF2" w:rsidP="00520D95" w14:paraId="48AA6B2B" w14:textId="77777777">
            <w:pPr>
              <w:pStyle w:val="Heading13"/>
              <w:rPr>
                <w:lang w:val="en-GB"/>
              </w:rPr>
            </w:pPr>
            <w:r w:rsidRPr="007B76B4">
              <w:rPr>
                <w:lang w:val="en-GB"/>
              </w:rPr>
              <w:t>Accounting principles</w:t>
            </w:r>
          </w:p>
          <w:p w:rsidR="00520D95" w:rsidP="00520D95" w14:paraId="4CDE2D75" w14:textId="4A18E5C5">
            <w:pPr>
              <w:pStyle w:val="Bodytext2"/>
              <w:rPr>
                <w:color w:val="0F172B"/>
                <w:szCs w:val="15"/>
                <w:lang w:val="en-GB"/>
              </w:rPr>
            </w:pPr>
            <w:r>
              <w:rPr>
                <w:color w:val="0F172B"/>
                <w:szCs w:val="15"/>
                <w:lang w:val="en-GB"/>
              </w:rPr>
              <w:t xml:space="preserve">Contingent liabilities are possible obligations resulting from previous events, the existence of which will only be ascertained once the uncertain </w:t>
            </w:r>
            <w:r>
              <w:rPr>
                <w:color w:val="0F172B"/>
                <w:szCs w:val="15"/>
                <w:lang w:val="en-GB"/>
              </w:rPr>
              <w:t>event that is beyond the Group’s control materialises. Existing obligations that are not likely to require the fulfilment of a payment obligation, or the amount of which cannot be reliably determined, are also considered contingent liabilities.</w:t>
            </w:r>
          </w:p>
        </w:tc>
      </w:tr>
    </w:tbl>
    <w:p w:rsidR="00520D95" w:rsidP="00520D95" w14:paraId="6CA78D25" w14:textId="77777777">
      <w:pPr>
        <w:pStyle w:val="Bodytext2"/>
        <w:rPr>
          <w:color w:val="0F172B"/>
          <w:szCs w:val="15"/>
          <w:lang w:val="en-GB"/>
        </w:rPr>
      </w:pPr>
    </w:p>
    <w:tbl>
      <w:tblPr>
        <w:tblStyle w:val="TableNormal"/>
        <w:tblCaption w:val="table_71_mortgages"/>
        <w:tblW w:w="7470" w:type="dxa"/>
        <w:tblLayout w:type="fixed"/>
        <w:tblLook w:val="0600"/>
      </w:tblPr>
      <w:tblGrid>
        <w:gridCol w:w="75"/>
        <w:gridCol w:w="3495"/>
        <w:gridCol w:w="975"/>
        <w:gridCol w:w="975"/>
        <w:gridCol w:w="975"/>
        <w:gridCol w:w="975"/>
      </w:tblGrid>
      <w:tr>
        <w:tblPrEx>
          <w:tblW w:w="7470" w:type="dxa"/>
          <w:tblLayout w:type="fixed"/>
          <w:tblLook w:val="0600"/>
        </w:tblPrEx>
        <w:trPr>
          <w:trHeight w:val="300"/>
        </w:trPr>
        <w:tc>
          <w:tcPr>
            <w:tcW w:w="7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495"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75" w:type="dxa"/>
            <w:tcBorders>
              <w:top w:val="nil"/>
              <w:left w:val="nil"/>
              <w:bottom w:val="nil"/>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nil"/>
              <w:left w:val="nil"/>
              <w:bottom w:val="nil"/>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975" w:type="dxa"/>
            <w:tcBorders>
              <w:top w:val="nil"/>
              <w:left w:val="nil"/>
              <w:bottom w:val="nil"/>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nil"/>
              <w:left w:val="nil"/>
              <w:bottom w:val="nil"/>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7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Debt in 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financial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position</w:t>
            </w:r>
          </w:p>
        </w:tc>
        <w:tc>
          <w:tcPr>
            <w:tcW w:w="97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Collateral</w:t>
            </w:r>
          </w:p>
        </w:tc>
        <w:tc>
          <w:tcPr>
            <w:tcW w:w="97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Debt in 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financial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position</w:t>
            </w:r>
          </w:p>
        </w:tc>
        <w:tc>
          <w:tcPr>
            <w:tcW w:w="97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Collateral</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Mortgages given as collateral for liabilities and commitments</w:t>
            </w:r>
          </w:p>
        </w:tc>
        <w:tc>
          <w:tcPr>
            <w:tcW w:w="97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70" w:type="dxa"/>
            <w:gridSpan w:val="2"/>
            <w:tcBorders>
              <w:top w:val="nil"/>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commitments</w:t>
            </w:r>
          </w:p>
        </w:tc>
        <w:tc>
          <w:tcPr>
            <w:tcW w:w="97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97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c>
          <w:tcPr>
            <w:tcW w:w="97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97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7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97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w:t>
            </w:r>
          </w:p>
        </w:tc>
        <w:tc>
          <w:tcPr>
            <w:tcW w:w="97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97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49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 </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Chattel mortgages and other pledges and securities given as collateral for liabilities and commitments</w:t>
            </w:r>
          </w:p>
        </w:tc>
        <w:tc>
          <w:tcPr>
            <w:tcW w:w="97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70"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Loans from credit institutions</w:t>
            </w:r>
          </w:p>
        </w:tc>
        <w:tc>
          <w:tcPr>
            <w:tcW w:w="97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7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97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70"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commitments</w:t>
            </w:r>
          </w:p>
        </w:tc>
        <w:tc>
          <w:tcPr>
            <w:tcW w:w="97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w:t>
            </w:r>
          </w:p>
        </w:tc>
        <w:tc>
          <w:tcPr>
            <w:tcW w:w="97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7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7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7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w:t>
            </w:r>
          </w:p>
        </w:tc>
        <w:tc>
          <w:tcPr>
            <w:tcW w:w="97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c>
          <w:tcPr>
            <w:tcW w:w="97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w:t>
            </w:r>
          </w:p>
        </w:tc>
      </w:tr>
    </w:tbl>
    <w:p w:rsidR="00520D95" w:rsidP="00520D95" w14:paraId="67AC30DF" w14:textId="77777777">
      <w:pPr>
        <w:pStyle w:val="Bodytext2"/>
        <w:rPr>
          <w:color w:val="0F172B"/>
          <w:szCs w:val="15"/>
          <w:lang w:val="en-GB"/>
        </w:rPr>
      </w:pPr>
    </w:p>
    <w:tbl>
      <w:tblPr>
        <w:tblStyle w:val="TableNormal"/>
        <w:tblCaption w:val="table_71_guarantees"/>
        <w:tblW w:w="7470" w:type="dxa"/>
        <w:tblLayout w:type="fixed"/>
        <w:tblLook w:val="0600"/>
      </w:tblPr>
      <w:tblGrid>
        <w:gridCol w:w="75"/>
        <w:gridCol w:w="3495"/>
        <w:gridCol w:w="975"/>
        <w:gridCol w:w="975"/>
        <w:gridCol w:w="975"/>
        <w:gridCol w:w="975"/>
      </w:tblGrid>
      <w:tr>
        <w:tblPrEx>
          <w:tblW w:w="7470" w:type="dxa"/>
          <w:tblLayout w:type="fixed"/>
          <w:tblLook w:val="0600"/>
        </w:tblPrEx>
        <w:trPr>
          <w:trHeight w:val="240"/>
        </w:trPr>
        <w:tc>
          <w:tcPr>
            <w:tcW w:w="3570" w:type="dxa"/>
            <w:gridSpan w:val="2"/>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75" w:type="dxa"/>
            <w:tcBorders>
              <w:top w:val="nil"/>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 </w:t>
            </w:r>
          </w:p>
        </w:tc>
        <w:tc>
          <w:tcPr>
            <w:tcW w:w="97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97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Guarantees and contingent liabilities</w:t>
            </w:r>
          </w:p>
        </w:tc>
        <w:tc>
          <w:tcPr>
            <w:tcW w:w="97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4" w:space="0" w:color="004A6B"/>
              <w:left w:val="nil"/>
              <w:bottom w:val="single" w:sz="8" w:space="0" w:color="0F172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on behalf of Group companies</w:t>
            </w:r>
          </w:p>
        </w:tc>
        <w:tc>
          <w:tcPr>
            <w:tcW w:w="975"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887</w:t>
            </w:r>
          </w:p>
        </w:tc>
        <w:tc>
          <w:tcPr>
            <w:tcW w:w="97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718</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75" w:type="dxa"/>
            <w:tcBorders>
              <w:top w:val="nil"/>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887</w:t>
            </w:r>
          </w:p>
        </w:tc>
        <w:tc>
          <w:tcPr>
            <w:tcW w:w="97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718</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49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Nominal amounts of lease liabilities</w:t>
            </w:r>
          </w:p>
        </w:tc>
        <w:tc>
          <w:tcPr>
            <w:tcW w:w="9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4" w:space="0" w:color="004A6B"/>
              <w:left w:val="nil"/>
              <w:bottom w:val="single" w:sz="4" w:space="0" w:color="004A6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Low-value lease liabilities</w:t>
            </w:r>
          </w:p>
        </w:tc>
        <w:tc>
          <w:tcPr>
            <w:tcW w:w="9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97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570"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Short-term lease liabilities</w:t>
            </w:r>
          </w:p>
        </w:tc>
        <w:tc>
          <w:tcPr>
            <w:tcW w:w="97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7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4" w:space="0" w:color="004A6B"/>
              <w:left w:val="nil"/>
              <w:bottom w:val="single" w:sz="8" w:space="0" w:color="0F172B"/>
              <w:right w:val="nil"/>
              <w:tl2br w:val="nil"/>
              <w:tr2bl w:val="nil"/>
            </w:tcBorders>
            <w:shd w:val="clear" w:color="FFFFFF" w:fill="FFFFFF"/>
            <w:noWrap w:val="0"/>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Leases not yet commenced, but to which Wärtsilä is committed</w:t>
            </w:r>
          </w:p>
        </w:tc>
        <w:tc>
          <w:tcPr>
            <w:tcW w:w="975"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191</w:t>
            </w:r>
          </w:p>
        </w:tc>
        <w:tc>
          <w:tcPr>
            <w:tcW w:w="97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143</w:t>
            </w:r>
          </w:p>
        </w:tc>
      </w:tr>
      <w:tr>
        <w:tblPrEx>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570" w:type="dxa"/>
            <w:gridSpan w:val="2"/>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975" w:type="dxa"/>
            <w:tcBorders>
              <w:top w:val="single" w:sz="8" w:space="0" w:color="0F172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7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w:t>
            </w:r>
          </w:p>
        </w:tc>
        <w:tc>
          <w:tcPr>
            <w:tcW w:w="97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151</w:t>
            </w:r>
          </w:p>
        </w:tc>
      </w:tr>
    </w:tbl>
    <w:p w:rsidR="00520D95" w:rsidRPr="00590B7E" w:rsidP="00BA38AE" w14:paraId="433BECE4" w14:textId="39237E53">
      <w:pPr>
        <w:pStyle w:val="Bodytext2"/>
        <w:rPr>
          <w:color w:val="0F172B"/>
          <w:sz w:val="2"/>
          <w:szCs w:val="2"/>
          <w:lang w:val="en-GB"/>
        </w:rPr>
      </w:pPr>
      <w:r>
        <w:rPr>
          <w:color w:val="0F172B"/>
          <w:szCs w:val="15"/>
          <w:lang w:val="en-GB"/>
        </w:rPr>
        <w:br w:type="column"/>
      </w:r>
    </w:p>
    <w:p w:rsidR="001A5711" w:rsidP="001A5711" w14:paraId="772C768D" w14:textId="77777777">
      <w:pPr>
        <w:pStyle w:val="Heading12"/>
      </w:pPr>
      <w:bookmarkStart w:id="1203" w:name="RG_MARKER_4160"/>
      <w:r>
        <w:t>7.2. RELATED PARTY DISCLOSURES</w:t>
      </w:r>
      <w:bookmarkEnd w:id="1203"/>
    </w:p>
    <w:p w:rsidR="001A5711" w:rsidRPr="001A5711" w:rsidP="001A5711" w14:paraId="7FCCF947" w14:textId="40BA85B1">
      <w:pPr>
        <w:pStyle w:val="Bodytext2"/>
      </w:pPr>
      <w:r w:rsidRPr="001A5711">
        <w:t>Related parties comprise the parent company, subsidiaries, the associated companies</w:t>
      </w:r>
      <w:r>
        <w:t>,</w:t>
      </w:r>
      <w:r w:rsidRPr="001A5711">
        <w:t xml:space="preserve"> and joint ventures. Related parties also include </w:t>
      </w:r>
      <w:r>
        <w:t xml:space="preserve">the </w:t>
      </w:r>
      <w:r w:rsidRPr="001A5711">
        <w:t>Board of Directors, the President and CEO, the Board of Management, their family members</w:t>
      </w:r>
      <w:r>
        <w:t>,</w:t>
      </w:r>
      <w:r w:rsidRPr="001A5711">
        <w:t xml:space="preserve"> and entities controlled directly or indirectly by them.</w:t>
      </w:r>
    </w:p>
    <w:p w:rsidR="001A5711" w:rsidRPr="001A5711" w:rsidP="001A5711" w14:paraId="758414F2" w14:textId="77777777">
      <w:pPr>
        <w:pStyle w:val="Bodytext2"/>
      </w:pPr>
    </w:p>
    <w:p w:rsidR="001A5711" w:rsidP="001A5711" w14:paraId="1CEA2059" w14:textId="3E7B7B18">
      <w:pPr>
        <w:pStyle w:val="Heading13"/>
      </w:pPr>
      <w:r w:rsidRPr="001A5711">
        <w:t>Management remuneration</w:t>
      </w:r>
    </w:p>
    <w:p w:rsidR="001A5711" w:rsidRPr="001A5711" w:rsidP="001A5711" w14:paraId="222E2EBF" w14:textId="77777777">
      <w:pPr>
        <w:pStyle w:val="Bodytext2"/>
      </w:pPr>
    </w:p>
    <w:tbl>
      <w:tblPr>
        <w:tblStyle w:val="TableNormal"/>
        <w:tblCaption w:val="table_72_benefits"/>
        <w:tblW w:w="7410" w:type="dxa"/>
        <w:tblLayout w:type="fixed"/>
        <w:tblLook w:val="0600"/>
      </w:tblPr>
      <w:tblGrid>
        <w:gridCol w:w="60"/>
        <w:gridCol w:w="4860"/>
        <w:gridCol w:w="1245"/>
        <w:gridCol w:w="1245"/>
      </w:tblGrid>
      <w:tr>
        <w:tblPrEx>
          <w:tblW w:w="7410" w:type="dxa"/>
          <w:tblLayout w:type="fixed"/>
          <w:tblLook w:val="0600"/>
        </w:tblPrEx>
        <w:trPr>
          <w:trHeight w:val="240"/>
        </w:trPr>
        <w:tc>
          <w:tcPr>
            <w:tcW w:w="60" w:type="dxa"/>
            <w:tcBorders>
              <w:top w:val="nil"/>
              <w:left w:val="nil"/>
              <w:bottom w:val="nil"/>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4860" w:type="dxa"/>
            <w:tcBorders>
              <w:top w:val="nil"/>
              <w:left w:val="nil"/>
              <w:bottom w:val="nil"/>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2490" w:type="dxa"/>
            <w:gridSpan w:val="2"/>
            <w:tcBorders>
              <w:top w:val="nil"/>
              <w:left w:val="nil"/>
              <w:bottom w:val="nil"/>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Benefits recognised in the statement of income</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920" w:type="dxa"/>
            <w:gridSpan w:val="2"/>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TEUR</w:t>
            </w:r>
          </w:p>
        </w:tc>
        <w:tc>
          <w:tcPr>
            <w:tcW w:w="1245" w:type="dxa"/>
            <w:tcBorders>
              <w:top w:val="nil"/>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920" w:type="dxa"/>
            <w:gridSpan w:val="2"/>
            <w:tcBorders>
              <w:top w:val="single" w:sz="8" w:space="0" w:color="0F172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President and CEO</w:t>
            </w:r>
          </w:p>
        </w:tc>
        <w:tc>
          <w:tcPr>
            <w:tcW w:w="124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Salaries and other short-term benefits</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1,177</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894</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nil"/>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Statutory pension costs</w:t>
            </w:r>
          </w:p>
        </w:tc>
        <w:tc>
          <w:tcPr>
            <w:tcW w:w="1245" w:type="dxa"/>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184</w:t>
            </w:r>
          </w:p>
        </w:tc>
        <w:tc>
          <w:tcPr>
            <w:tcW w:w="1245" w:type="dxa"/>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123</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Voluntary pension costs</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179</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179</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members of the Board of Management</w:t>
            </w:r>
          </w:p>
        </w:tc>
        <w:tc>
          <w:tcPr>
            <w:tcW w:w="1245" w:type="dxa"/>
            <w:tcBorders>
              <w:top w:val="nil"/>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nil"/>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Salaries and other short-term benefits</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3,225</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2,371</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nil"/>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Statutory pension costs</w:t>
            </w:r>
          </w:p>
        </w:tc>
        <w:tc>
          <w:tcPr>
            <w:tcW w:w="1245" w:type="dxa"/>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267</w:t>
            </w:r>
          </w:p>
        </w:tc>
        <w:tc>
          <w:tcPr>
            <w:tcW w:w="1245" w:type="dxa"/>
            <w:tcBorders>
              <w:top w:val="nil"/>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305</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8" w:space="0" w:color="0F172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Voluntary pension costs</w:t>
            </w:r>
          </w:p>
        </w:tc>
        <w:tc>
          <w:tcPr>
            <w:tcW w:w="124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247</w:t>
            </w:r>
          </w:p>
        </w:tc>
        <w:tc>
          <w:tcPr>
            <w:tcW w:w="124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342</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5,279</w:t>
            </w:r>
          </w:p>
        </w:tc>
        <w:tc>
          <w:tcPr>
            <w:tcW w:w="124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4,214</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486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920" w:type="dxa"/>
            <w:gridSpan w:val="2"/>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Board of Directors on 31 December 2020</w:t>
            </w: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Tom Johnstone, Chairman</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163</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117</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Markus Rauramo, Deputy Chairman</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135</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Maarit Aarni-Sirviö, member</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100</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92</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Karen Bomba, member</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79</w:t>
            </w: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Karin Falk, member</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80</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77</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Johan Forssell, member</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85</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81</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Risto Murto, member</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91</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Mats Rahmström, member</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79</w:t>
            </w: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Board of Directors, until 5 March 2020</w:t>
            </w: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4" w:space="0" w:color="004A6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Kaj-Gustaf Bergh, member</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81</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4" w:space="0" w:color="004A6B"/>
              <w:left w:val="nil"/>
              <w:bottom w:val="single" w:sz="8" w:space="0" w:color="0F172B"/>
              <w:right w:val="nil"/>
              <w:tl2br w:val="nil"/>
              <w:tr2bl w:val="nil"/>
            </w:tcBorders>
            <w:shd w:val="clear" w:color="auto" w:fill="auto"/>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Mikael Lilius, member</w:t>
            </w:r>
          </w:p>
        </w:tc>
        <w:tc>
          <w:tcPr>
            <w:tcW w:w="124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24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172</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24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814</w:t>
            </w:r>
          </w:p>
        </w:tc>
        <w:tc>
          <w:tcPr>
            <w:tcW w:w="124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806</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60"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4860"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245" w:type="dxa"/>
            <w:tcBorders>
              <w:top w:val="single" w:sz="4" w:space="0" w:color="004A6B"/>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920" w:type="dxa"/>
            <w:gridSpan w:val="2"/>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Management remuneration, total</w:t>
            </w:r>
          </w:p>
        </w:tc>
        <w:tc>
          <w:tcPr>
            <w:tcW w:w="124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6,093</w:t>
            </w:r>
          </w:p>
        </w:tc>
        <w:tc>
          <w:tcPr>
            <w:tcW w:w="124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5,020</w:t>
            </w:r>
          </w:p>
        </w:tc>
      </w:tr>
    </w:tbl>
    <w:p w:rsidR="001A5711" w:rsidRPr="001A5711" w:rsidP="001A5711" w14:paraId="4A409C0C" w14:textId="77777777">
      <w:pPr>
        <w:pStyle w:val="Bodytext2"/>
      </w:pPr>
    </w:p>
    <w:p w:rsidR="001A5711" w:rsidRPr="001A5711" w:rsidP="001A5711" w14:paraId="2BAF67B4" w14:textId="4463CCBC">
      <w:pPr>
        <w:pStyle w:val="Bodytext2"/>
      </w:pPr>
      <w:r w:rsidRPr="001A5711">
        <w:t>The holdings of Wärtsilä shares of the President and CEO, an</w:t>
      </w:r>
      <w:r w:rsidRPr="001A5711">
        <w:t>d the members of the Board of Directors and Board of Management at year</w:t>
      </w:r>
      <w:r>
        <w:t>-</w:t>
      </w:r>
      <w:r w:rsidRPr="001A5711">
        <w:t xml:space="preserve">end were </w:t>
      </w:r>
      <w:r>
        <w:t>238</w:t>
      </w:r>
      <w:r w:rsidRPr="001A5711">
        <w:t>,</w:t>
      </w:r>
      <w:r>
        <w:t>875</w:t>
      </w:r>
      <w:r w:rsidRPr="001A5711">
        <w:t xml:space="preserve"> </w:t>
      </w:r>
      <w:r w:rsidRPr="001A5711">
        <w:t>shares (289,036).</w:t>
      </w:r>
    </w:p>
    <w:p w:rsidR="001A5711" w:rsidRPr="001A5711" w:rsidP="001A5711" w14:paraId="032A3B16" w14:textId="77777777">
      <w:pPr>
        <w:pStyle w:val="Bodytext2"/>
      </w:pPr>
    </w:p>
    <w:p w:rsidR="001A5711" w:rsidRPr="001A5711" w:rsidP="001A5711" w14:paraId="0629748A" w14:textId="77777777">
      <w:pPr>
        <w:pStyle w:val="Bodytext2"/>
      </w:pPr>
      <w:r w:rsidRPr="001A5711">
        <w:t xml:space="preserve">The President and CEO is entitled to retire on reaching 63 years of age. The members of the Board of Management are entitled to retire on reaching </w:t>
      </w:r>
      <w:r w:rsidRPr="001A5711">
        <w:t xml:space="preserve">the statutory retirement age. One member of the Board of Management is entitled to retire earlier, on reaching 60 years of age. The Group has no loan receivables from the executive management or the Board of Directors. No pledges or other commitments have </w:t>
      </w:r>
      <w:r w:rsidRPr="001A5711">
        <w:t>been given on behalf of management or shareholders.</w:t>
      </w:r>
    </w:p>
    <w:p w:rsidR="001A5711" w:rsidRPr="001A5711" w:rsidP="001A5711" w14:paraId="7F6898CA" w14:textId="77777777">
      <w:pPr>
        <w:pStyle w:val="Bodytext2"/>
      </w:pPr>
    </w:p>
    <w:p w:rsidR="001A5711" w:rsidRPr="001A5711" w:rsidP="001A5711" w14:paraId="6ABA793A" w14:textId="77777777">
      <w:pPr>
        <w:pStyle w:val="Heading13"/>
      </w:pPr>
      <w:r w:rsidRPr="001A5711">
        <w:t>Business transactions with the associated companies and joint ventures</w:t>
      </w:r>
    </w:p>
    <w:p w:rsidR="001A5711" w:rsidRPr="001A5711" w:rsidP="001A5711" w14:paraId="0EC9A0BB" w14:textId="77777777">
      <w:pPr>
        <w:pStyle w:val="Bodytext2"/>
      </w:pPr>
    </w:p>
    <w:tbl>
      <w:tblPr>
        <w:tblStyle w:val="TableNormal"/>
        <w:tblCaption w:val="table_72_ass_jv"/>
        <w:tblW w:w="7410" w:type="dxa"/>
        <w:tblLayout w:type="fixed"/>
        <w:tblLook w:val="0600"/>
      </w:tblPr>
      <w:tblGrid>
        <w:gridCol w:w="4920"/>
        <w:gridCol w:w="1245"/>
        <w:gridCol w:w="1245"/>
      </w:tblGrid>
      <w:tr>
        <w:tblPrEx>
          <w:tblW w:w="7410" w:type="dxa"/>
          <w:tblLayout w:type="fixed"/>
          <w:tblLook w:val="0600"/>
        </w:tblPrEx>
        <w:trPr>
          <w:trHeight w:hRule="exact" w:val="240"/>
        </w:trPr>
        <w:tc>
          <w:tcPr>
            <w:tcW w:w="4920" w:type="dxa"/>
            <w:tcBorders>
              <w:top w:val="nil"/>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245" w:type="dxa"/>
            <w:tcBorders>
              <w:top w:val="nil"/>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245" w:type="dxa"/>
            <w:tcBorders>
              <w:top w:val="nil"/>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920" w:type="dxa"/>
            <w:tcBorders>
              <w:top w:val="single" w:sz="8" w:space="0" w:color="0F172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Sales to the associates and joint ventures</w:t>
            </w:r>
          </w:p>
        </w:tc>
        <w:tc>
          <w:tcPr>
            <w:tcW w:w="124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w:t>
            </w:r>
          </w:p>
        </w:tc>
        <w:tc>
          <w:tcPr>
            <w:tcW w:w="124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31</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920"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Purchases from the associates and joint ventures</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67</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920"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Receivables from the associates and joint ventures</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920"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Advances paid to the associates and joint ventures</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920"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Payables to the associates and joint ventures</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24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bl>
    <w:p w:rsidR="001A5711" w:rsidP="001A5711" w14:paraId="5DC92BED" w14:textId="77777777">
      <w:pPr>
        <w:pStyle w:val="Bodytext2"/>
      </w:pPr>
    </w:p>
    <w:p w:rsidR="001A5711" w:rsidRPr="00BA38AE" w:rsidP="00BA38AE" w14:paraId="736555E2" w14:textId="60BDDCE9">
      <w:pPr>
        <w:pStyle w:val="Bodytext2"/>
      </w:pPr>
      <w:r>
        <w:t>Detailed financial information on the associated companies and joint ventures is presented in Note 6.4. Inves</w:t>
      </w:r>
      <w:r>
        <w:t>tments in associates and joint ventures.</w:t>
      </w:r>
    </w:p>
    <w:p/>
    <w:p w:rsidR="00380A48" w:rsidP="005F07AF" w14:paraId="68D24C3B" w14:textId="77777777">
      <w:pPr>
        <w:pStyle w:val="Heading12"/>
      </w:pPr>
      <w:bookmarkStart w:id="1204" w:name="RG_MARKER_4161"/>
      <w:r>
        <w:t>7.3. AUDITORS’ FEES AND SERVICES</w:t>
      </w:r>
      <w:bookmarkEnd w:id="1204"/>
    </w:p>
    <w:p w:rsidR="00380A48" w:rsidRPr="005F07AF" w:rsidP="005F07AF" w14:paraId="66C36C97" w14:textId="1FCE801C">
      <w:pPr>
        <w:pStyle w:val="Bodytext2"/>
      </w:pPr>
      <w:r w:rsidRPr="005F07AF">
        <w:t>The following remuneration was paid to auditors and accounting firms for audit</w:t>
      </w:r>
      <w:r>
        <w:t>s</w:t>
      </w:r>
      <w:r w:rsidRPr="005F07AF">
        <w:t xml:space="preserve"> based on applicable legislation and for other services.</w:t>
      </w:r>
    </w:p>
    <w:p w:rsidR="00380A48" w:rsidRPr="005F07AF" w:rsidP="005F07AF" w14:paraId="7229D20A" w14:textId="77777777">
      <w:pPr>
        <w:pStyle w:val="Bodytext2"/>
      </w:pPr>
    </w:p>
    <w:p w:rsidR="00380A48" w:rsidRPr="005F07AF" w:rsidP="005F07AF" w14:paraId="496BCD22" w14:textId="6404CB9F">
      <w:pPr>
        <w:pStyle w:val="Bodytext2"/>
      </w:pPr>
      <w:r w:rsidRPr="005F07AF">
        <w:t xml:space="preserve">In 2020, the AGM appointed the audit firm PricewaterhouseCoopers Oy as Wärtsilä Corporation's auditor. PricewaterhouseCoopers Oy has provided non-audit services </w:t>
      </w:r>
      <w:r>
        <w:t>totalling</w:t>
      </w:r>
      <w:r>
        <w:t xml:space="preserve"> EUR 0.4 million </w:t>
      </w:r>
      <w:r w:rsidRPr="005F07AF">
        <w:t>to entities of Wärtsilä Group. These services included tax services (</w:t>
      </w:r>
      <w:r>
        <w:t>EUR 0.3 million</w:t>
      </w:r>
      <w:r w:rsidRPr="005F07AF">
        <w:t xml:space="preserve">) and other services </w:t>
      </w:r>
      <w:r>
        <w:t>(EUR 0.1 million</w:t>
      </w:r>
      <w:r w:rsidRPr="005F07AF">
        <w:t>).</w:t>
      </w:r>
    </w:p>
    <w:p w:rsidR="00380A48" w:rsidRPr="005F07AF" w:rsidP="005F07AF" w14:paraId="47A962CC" w14:textId="77777777">
      <w:pPr>
        <w:pStyle w:val="Bodytext2"/>
      </w:pPr>
    </w:p>
    <w:tbl>
      <w:tblPr>
        <w:tblStyle w:val="TableNormal"/>
        <w:tblCaption w:val="table_73"/>
        <w:tblW w:w="7350" w:type="dxa"/>
        <w:tblLayout w:type="fixed"/>
        <w:tblLook w:val="0600"/>
      </w:tblPr>
      <w:tblGrid>
        <w:gridCol w:w="3030"/>
        <w:gridCol w:w="1080"/>
        <w:gridCol w:w="1080"/>
        <w:gridCol w:w="1080"/>
        <w:gridCol w:w="1080"/>
      </w:tblGrid>
      <w:tr>
        <w:tblPrEx>
          <w:tblW w:w="7350" w:type="dxa"/>
          <w:tblLayout w:type="fixed"/>
          <w:tblLook w:val="0600"/>
        </w:tblPrEx>
        <w:trPr>
          <w:trHeight w:hRule="exact" w:val="240"/>
        </w:trPr>
        <w:tc>
          <w:tcPr>
            <w:tcW w:w="303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80" w:type="dxa"/>
            <w:tcBorders>
              <w:top w:val="nil"/>
              <w:left w:val="nil"/>
              <w:bottom w:val="nil"/>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nil"/>
              <w:left w:val="nil"/>
              <w:bottom w:val="nil"/>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080" w:type="dxa"/>
            <w:tcBorders>
              <w:top w:val="nil"/>
              <w:left w:val="nil"/>
              <w:bottom w:val="nil"/>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80" w:type="dxa"/>
            <w:tcBorders>
              <w:top w:val="nil"/>
              <w:left w:val="nil"/>
              <w:bottom w:val="nil"/>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8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PwC</w:t>
            </w:r>
          </w:p>
        </w:tc>
        <w:tc>
          <w:tcPr>
            <w:tcW w:w="108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Others</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PwC</w:t>
            </w:r>
          </w:p>
        </w:tc>
        <w:tc>
          <w:tcPr>
            <w:tcW w:w="108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Others</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Audit</w:t>
            </w: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4.2</w:t>
            </w:r>
          </w:p>
        </w:tc>
        <w:tc>
          <w:tcPr>
            <w:tcW w:w="108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0.4</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108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0.5</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 advisory</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0.3</w:t>
            </w:r>
          </w:p>
        </w:tc>
        <w:tc>
          <w:tcPr>
            <w:tcW w:w="108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0.2</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0.2</w:t>
            </w:r>
          </w:p>
        </w:tc>
        <w:tc>
          <w:tcPr>
            <w:tcW w:w="108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0.3</w:t>
            </w: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services</w:t>
            </w: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0.1</w:t>
            </w:r>
          </w:p>
        </w:tc>
        <w:tc>
          <w:tcPr>
            <w:tcW w:w="108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0.1</w:t>
            </w:r>
          </w:p>
        </w:tc>
        <w:tc>
          <w:tcPr>
            <w:tcW w:w="108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0.3</w:t>
            </w:r>
          </w:p>
        </w:tc>
        <w:tc>
          <w:tcPr>
            <w:tcW w:w="108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3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w:t>
            </w:r>
          </w:p>
        </w:tc>
        <w:tc>
          <w:tcPr>
            <w:tcW w:w="108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0.7</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4.8</w:t>
            </w:r>
          </w:p>
        </w:tc>
        <w:tc>
          <w:tcPr>
            <w:tcW w:w="108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0.8</w:t>
            </w:r>
          </w:p>
        </w:tc>
      </w:tr>
    </w:tbl>
    <w:p w:rsidR="000A10FB" w:rsidRPr="00485D07" w:rsidP="005F07AF" w14:paraId="484016F5" w14:textId="2CCB09D0">
      <w:pPr>
        <w:pStyle w:val="Bodytext2"/>
        <w:rPr>
          <w:sz w:val="2"/>
          <w:szCs w:val="2"/>
        </w:rPr>
      </w:pPr>
      <w:r>
        <w:br w:type="column"/>
      </w:r>
    </w:p>
    <w:p w:rsidR="00380A48" w:rsidRPr="000A10FB" w:rsidP="005F07AF" w14:paraId="701D5679" w14:textId="77777777">
      <w:pPr>
        <w:pStyle w:val="Bodytext2"/>
        <w:rPr>
          <w:sz w:val="2"/>
          <w:szCs w:val="2"/>
        </w:rPr>
      </w:pPr>
      <w:r>
        <w:t xml:space="preserve"> </w:t>
      </w:r>
    </w:p>
    <w:p w:rsidR="00380A48" w:rsidP="005F07AF" w14:textId="6C0594B2">
      <w:pPr>
        <w:pStyle w:val="Heading12"/>
      </w:pPr>
      <w:bookmarkStart w:id="1205" w:name="RG_MARKER_5313"/>
      <w:r>
        <w:t>7.4</w:t>
      </w:r>
      <w:bookmarkEnd w:id="1205"/>
      <w:r>
        <w:t>. EVENTS AFTER THE BALANCE SHEET DATE</w:t>
      </w:r>
    </w:p>
    <w:p w:rsidR="00774DCC" w:rsidRPr="00774DCC" w:rsidP="00774DCC" w14:paraId="24DD813F" w14:textId="62C89556">
      <w:pPr>
        <w:pStyle w:val="Bodytext2"/>
      </w:pPr>
      <w:r w:rsidRPr="00774DCC">
        <w:t xml:space="preserve">In January 2021, Wärtsilä announced the divestment of 100% of the shares in its Entertainment business, Wärtsilä Funa GmbH, to Videlio SA, a French public limited company. </w:t>
      </w:r>
      <w:r w:rsidRPr="00774DCC">
        <w:t>Entertainment is engaged in the field of design, fabrication, engineering and integration of entertainment systems, illumination, light control, cabin control, broadcast and digital audio distribution and announcement systems for cruise vessels and entertainment parks. The annual revenues were approximately EUR 50 million in 2020.</w:t>
      </w:r>
    </w:p>
    <w:p w:rsidR="00774DCC" w:rsidRPr="00774DCC" w:rsidP="00774DCC" w14:paraId="12F68907" w14:textId="77777777">
      <w:pPr>
        <w:pStyle w:val="Bodytext2"/>
      </w:pPr>
    </w:p>
    <w:p w:rsidR="000A10FB" w:rsidP="005F07AF" w14:textId="38845269">
      <w:pPr>
        <w:pStyle w:val="Bodytext2"/>
      </w:pPr>
      <w:r w:rsidRPr="00774DCC">
        <w:t>The event is not expected to have a material impact on the profit for the financial period 2021</w:t>
      </w:r>
      <w:r w:rsidRPr="00774DCC">
        <w:t>.</w:t>
      </w:r>
      <w:r>
        <w:br w:type="page"/>
      </w:r>
    </w:p>
    <w:p w:rsidR="00380A48" w:rsidRPr="000A10FB" w:rsidP="005F07AF" w14:textId="77777777">
      <w:pPr>
        <w:pStyle w:val="Bodytext2"/>
        <w:rPr>
          <w:sz w:val="2"/>
          <w:szCs w:val="2"/>
        </w:rPr>
      </w:pPr>
      <w:r>
        <w:t xml:space="preserve"> </w:t>
      </w:r>
    </w:p>
    <w:p w:rsidR="00450910" w:rsidP="00EC7DB0" w14:paraId="0507619D" w14:textId="7635860F">
      <w:pPr>
        <w:pStyle w:val="Heading10"/>
      </w:pPr>
      <w:bookmarkStart w:id="1206" w:name="RG_MARKER_4221"/>
      <w:bookmarkStart w:id="1207" w:name="RG_MARKER_3173"/>
      <w:r>
        <w:t>PARENT COMPANY FINANCIAL STATEMENTS</w:t>
      </w:r>
      <w:bookmarkEnd w:id="1207"/>
      <w:bookmarkEnd w:id="1206"/>
    </w:p>
    <w:p w:rsidR="00EC7DB0" w:rsidRPr="00EC7DB0" w:rsidP="00EC7DB0" w14:paraId="49A57A10" w14:textId="08A6E0B6">
      <w:pPr>
        <w:pStyle w:val="Heading10"/>
      </w:pPr>
      <w:r w:rsidRPr="00EC7DB0">
        <w:t>PARENT COMPANY INCOME STATEMENT</w:t>
      </w:r>
    </w:p>
    <w:tbl>
      <w:tblPr>
        <w:tblStyle w:val="TableNormal"/>
        <w:tblCaption w:val="parent_IS"/>
        <w:tblDescription w:val="Emoyhtiön tuloslaskelma (FAS)"/>
        <w:tblW w:w="7365" w:type="dxa"/>
        <w:tblLayout w:type="fixed"/>
        <w:tblLook w:val="0600"/>
      </w:tblPr>
      <w:tblGrid>
        <w:gridCol w:w="4185"/>
        <w:gridCol w:w="1365"/>
        <w:gridCol w:w="1365"/>
        <w:gridCol w:w="45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36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3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45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Note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 operating income</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w:t>
            </w: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Personnel expenses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w:t>
            </w: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amortisation and impairments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operating expenses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-89</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Operating result </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-39</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-60</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Financial income and expenses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from financial assets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301</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304</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income and other financial income</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64</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90</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Exchange gains and losses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expenses and other financial expenses</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-91</w:t>
            </w: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305</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304</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Result before appropriations and taxes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266</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243</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Group contribution</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Result before taxes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268</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243</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Income taxes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Result for the financial period</w:t>
            </w:r>
          </w:p>
        </w:tc>
        <w:tc>
          <w:tcPr>
            <w:tcW w:w="136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265</w:t>
            </w:r>
          </w:p>
        </w:tc>
        <w:tc>
          <w:tcPr>
            <w:tcW w:w="136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240</w:t>
            </w:r>
          </w:p>
        </w:tc>
        <w:tc>
          <w:tcPr>
            <w:tcW w:w="4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bl>
    <w:p w:rsidR="00EC7DB0" w:rsidRPr="00603A67" w:rsidP="000D79A6" w14:paraId="6C488270" w14:textId="77777777">
      <w:pPr>
        <w:pStyle w:val="Bodytext2"/>
        <w:spacing w:before="0"/>
        <w:rPr>
          <w:rFonts w:asciiTheme="minorHAnsi" w:hAnsiTheme="minorHAnsi" w:cstheme="minorHAnsi"/>
          <w:sz w:val="2"/>
          <w:szCs w:val="2"/>
        </w:rPr>
      </w:pPr>
      <w:r w:rsidRPr="000D79A6">
        <w:rPr>
          <w:rFonts w:asciiTheme="minorHAnsi" w:hAnsiTheme="minorHAnsi" w:cstheme="minorHAnsi"/>
          <w:sz w:val="2"/>
          <w:szCs w:val="2"/>
        </w:rPr>
        <w:br w:type="column"/>
      </w:r>
    </w:p>
    <w:p w:rsidR="00EC7DB0" w:rsidRPr="00EC7DB0" w:rsidP="00BA38AE" w14:paraId="3856081C" w14:textId="77777777">
      <w:pPr>
        <w:pStyle w:val="Bodytext2"/>
        <w:rPr>
          <w:sz w:val="2"/>
          <w:szCs w:val="2"/>
        </w:rPr>
      </w:pPr>
      <w:r>
        <w:t xml:space="preserve"> </w:t>
      </w:r>
    </w:p>
    <w:p w:rsidR="00AA558F" w:rsidP="00AA558F" w14:paraId="47DA9397" w14:textId="77777777">
      <w:pPr>
        <w:pStyle w:val="Heading10"/>
      </w:pPr>
      <w:bookmarkStart w:id="1208" w:name="RG_MARKER_4222"/>
      <w:r>
        <w:t>PARENT COMPANY BALANCE SHEET</w:t>
      </w:r>
      <w:bookmarkEnd w:id="1208"/>
    </w:p>
    <w:tbl>
      <w:tblPr>
        <w:tblStyle w:val="TableNormal"/>
        <w:tblCaption w:val="parent_BS_1"/>
        <w:tblDescription w:val="Emoyhtiön tase (FAS)"/>
        <w:tblW w:w="7365" w:type="dxa"/>
        <w:tblLayout w:type="fixed"/>
        <w:tblLook w:val="0600"/>
      </w:tblPr>
      <w:tblGrid>
        <w:gridCol w:w="4185"/>
        <w:gridCol w:w="1365"/>
        <w:gridCol w:w="1365"/>
        <w:gridCol w:w="45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36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3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45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Note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Fixed assets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Intangible assets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long-term expenditure</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Intangable assets and construction in progress</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Tangible assets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Land and water</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Machinery, equipment and other tangible assets</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Financial assets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Shares in Group companies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950</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950</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shares and securities</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951</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951</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fixed assets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969</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974</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receivables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Receivables from Group companies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 receivables</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91</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101</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7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receivables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7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Receivables from Group companies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1,846</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2,193</w:t>
            </w: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Prepaid expenses and accrued income</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w:t>
            </w:r>
          </w:p>
        </w:tc>
        <w:tc>
          <w:tcPr>
            <w:tcW w:w="45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1,890</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2,224</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and bank balances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699</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current assets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2,680</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2,438</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136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3,649</w:t>
            </w:r>
          </w:p>
        </w:tc>
        <w:tc>
          <w:tcPr>
            <w:tcW w:w="136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3,413</w:t>
            </w:r>
          </w:p>
        </w:tc>
        <w:tc>
          <w:tcPr>
            <w:tcW w:w="4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bl>
    <w:p w:rsidR="00AA558F" w:rsidP="00AA558F" w14:paraId="303467E2" w14:textId="77777777">
      <w:pPr>
        <w:pStyle w:val="Bodytext2"/>
      </w:pPr>
    </w:p>
    <w:tbl>
      <w:tblPr>
        <w:tblStyle w:val="TableNormal"/>
        <w:tblCaption w:val="parent_BS_2"/>
        <w:tblW w:w="7365" w:type="dxa"/>
        <w:tblLayout w:type="fixed"/>
        <w:tblLook w:val="0600"/>
      </w:tblPr>
      <w:tblGrid>
        <w:gridCol w:w="4185"/>
        <w:gridCol w:w="1365"/>
        <w:gridCol w:w="1365"/>
        <w:gridCol w:w="45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365"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3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c>
          <w:tcPr>
            <w:tcW w:w="45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Note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 AND LIABILITIES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capital</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336</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336</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premium reserve</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Retained earnings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709</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754</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Result for the financial period</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265</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240</w:t>
            </w: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equity</w:t>
            </w: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1,371</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1,391</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Accumulated appropriations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difference</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Provisions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Liabilities</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Loans from credit institutions</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953</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847</w:t>
            </w: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953</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847</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Loans from credit institutions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130</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Liabilities to Group companies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1,129</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1,052</w:t>
            </w:r>
          </w:p>
        </w:tc>
        <w:tc>
          <w:tcPr>
            <w:tcW w:w="4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current liabilities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singl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Accrued expenses and deferred income</w:t>
            </w:r>
          </w:p>
        </w:tc>
        <w:tc>
          <w:tcPr>
            <w:tcW w:w="136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44</w:t>
            </w:r>
          </w:p>
        </w:tc>
        <w:tc>
          <w:tcPr>
            <w:tcW w:w="13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w:t>
            </w:r>
          </w:p>
        </w:tc>
        <w:tc>
          <w:tcPr>
            <w:tcW w:w="45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365"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1,310</w:t>
            </w:r>
          </w:p>
        </w:tc>
        <w:tc>
          <w:tcPr>
            <w:tcW w:w="136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1,155</w:t>
            </w:r>
          </w:p>
        </w:tc>
        <w:tc>
          <w:tcPr>
            <w:tcW w:w="4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 liabilities</w:t>
            </w:r>
          </w:p>
        </w:tc>
        <w:tc>
          <w:tcPr>
            <w:tcW w:w="136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2,263</w:t>
            </w:r>
          </w:p>
        </w:tc>
        <w:tc>
          <w:tcPr>
            <w:tcW w:w="13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2,003</w:t>
            </w:r>
          </w:p>
        </w:tc>
        <w:tc>
          <w:tcPr>
            <w:tcW w:w="4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36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4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Equity and liabilities</w:t>
            </w:r>
          </w:p>
        </w:tc>
        <w:tc>
          <w:tcPr>
            <w:tcW w:w="136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3,649</w:t>
            </w:r>
          </w:p>
        </w:tc>
        <w:tc>
          <w:tcPr>
            <w:tcW w:w="136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3,413</w:t>
            </w:r>
          </w:p>
        </w:tc>
        <w:tc>
          <w:tcPr>
            <w:tcW w:w="4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bl>
    <w:p w:rsidR="00AA558F" w:rsidRPr="00EA39E6" w:rsidP="00DC022F" w14:paraId="65820C3C" w14:textId="22B5F1A8">
      <w:pPr>
        <w:pStyle w:val="Bodytext2"/>
        <w:spacing w:before="0"/>
        <w:rPr>
          <w:rFonts w:asciiTheme="minorHAnsi" w:hAnsiTheme="minorHAnsi" w:cstheme="minorHAnsi"/>
          <w:sz w:val="2"/>
          <w:szCs w:val="2"/>
        </w:rPr>
      </w:pPr>
      <w:r w:rsidRPr="00DC022F">
        <w:rPr>
          <w:sz w:val="2"/>
          <w:szCs w:val="2"/>
        </w:rPr>
        <w:br w:type="column"/>
      </w:r>
    </w:p>
    <w:p w:rsidR="005C05CC" w:rsidP="005C05CC" w14:paraId="05D46E3F" w14:textId="77777777">
      <w:pPr>
        <w:pStyle w:val="Heading10"/>
      </w:pPr>
      <w:bookmarkStart w:id="1209" w:name="RG_MARKER_4223"/>
      <w:r>
        <w:t>PARENT COMPANY CASH FLOW STATEMENT</w:t>
      </w:r>
      <w:bookmarkEnd w:id="1209"/>
    </w:p>
    <w:tbl>
      <w:tblPr>
        <w:tblStyle w:val="TableNormal"/>
        <w:tblCaption w:val="parent_CF"/>
        <w:tblDescription w:val="Emoyhtiön rahavirtalaskelma (FAS)"/>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from operating activities:</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Result before appropriations and taxes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266</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Adjustments for:</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and amortisation</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Gains and losses on sale of intangible and tangible assets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Financial income and expenses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-305</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flow before changes in working capital</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Changes in working capital:</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Assets, non-interest-bearing, increase (-) / decrease (+)</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Liabilities, non-interest-bearing, increase (+) / decrease (-)</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8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operating activities before financial items and taxes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-47</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and other financial expenses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-60</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Dividends received from operating activities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301</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and other financial income from operating activities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64</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Income taxes paid</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301</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operating activities</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254</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investing activities:</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Investments in tangible and intangible assets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Proceeds from sale of tangible and intangible assets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59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investing activities</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after investing activities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257</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203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financing activities:</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Loans receivables, increase (-) / decrease (+)</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355</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Current loans, increase (+) / decrease (-)</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Proceeds from non-current borrowing</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245</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Repayments and other changes of non-current loans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-51</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Group contributions</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Dividends paid</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-284</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Cash flow from financing activities</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329</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-381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85" w:type="dxa"/>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Change in cash and bank balances, increase (+) / decrease (-)</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586</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bank at beginning of period</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113</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bank at end of period</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699</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r>
    </w:tbl>
    <w:p w:rsidR="005C05CC" w:rsidRPr="00B56701" w:rsidP="00B56701" w14:paraId="41961F4F" w14:textId="0E3C36B8">
      <w:pPr>
        <w:pStyle w:val="Bodytext2"/>
        <w:spacing w:before="0"/>
        <w:rPr>
          <w:sz w:val="2"/>
          <w:szCs w:val="2"/>
        </w:rPr>
      </w:pPr>
      <w:r w:rsidRPr="00B56701">
        <w:br w:type="column"/>
      </w:r>
    </w:p>
    <w:p w:rsidR="005C05CC" w:rsidRPr="005C05CC" w:rsidP="00BA38AE" w14:paraId="1FA179C0" w14:textId="77777777">
      <w:pPr>
        <w:pStyle w:val="Bodytext2"/>
        <w:rPr>
          <w:sz w:val="2"/>
          <w:szCs w:val="2"/>
        </w:rPr>
      </w:pPr>
      <w:r>
        <w:t xml:space="preserve"> </w:t>
      </w:r>
    </w:p>
    <w:p w:rsidR="00AA093D" w:rsidRPr="00AA093D" w:rsidP="00AA093D" w14:paraId="3857AE8F" w14:textId="77777777">
      <w:pPr>
        <w:pStyle w:val="Heading10"/>
      </w:pPr>
      <w:bookmarkStart w:id="1210" w:name="RG_MARKER_4224"/>
      <w:r w:rsidRPr="00AA093D">
        <w:t>ACCOUNTING PRINCIPLES FOR THE PARENT COMPANY</w:t>
      </w:r>
      <w:bookmarkEnd w:id="1210"/>
    </w:p>
    <w:p w:rsidR="00AA093D" w:rsidP="00AA093D" w14:paraId="16D0728D" w14:textId="318D9594">
      <w:pPr>
        <w:pStyle w:val="Bodytext2"/>
      </w:pPr>
      <w:r w:rsidRPr="00AA093D">
        <w:t>The financial statements of the parent company, Wärtsilä Corporation, have been prepared in accordance with the provisions of the Finnish Accounting Standards (FAS).</w:t>
      </w:r>
    </w:p>
    <w:p w:rsidR="00AA093D" w:rsidRPr="00AA093D" w:rsidP="00AA093D" w14:paraId="1FB01A4C" w14:textId="77777777">
      <w:pPr>
        <w:pStyle w:val="Bodytext2"/>
      </w:pPr>
    </w:p>
    <w:p w:rsidR="00AA093D" w:rsidP="00AA093D" w14:paraId="55C75374" w14:textId="41ED8CAF">
      <w:pPr>
        <w:pStyle w:val="Bodytext2"/>
      </w:pPr>
      <w:r w:rsidRPr="00AA093D">
        <w:t xml:space="preserve">The preparation of the financial statements requires management, in compliance with the regulations in force and good accounting practice, to make estimates and assumptions that affect the measurement and timing of the reported information. Actual results </w:t>
      </w:r>
      <w:r w:rsidRPr="00AA093D">
        <w:t>may differ from these estimates.</w:t>
      </w:r>
    </w:p>
    <w:p w:rsidR="00AA093D" w:rsidRPr="00AA093D" w:rsidP="00AA093D" w14:paraId="513ADC75" w14:textId="77777777">
      <w:pPr>
        <w:pStyle w:val="Bodytext2"/>
      </w:pPr>
    </w:p>
    <w:p w:rsidR="00AA093D" w:rsidRPr="00AA093D" w:rsidP="00AA093D" w14:paraId="5AD966E0" w14:textId="77777777">
      <w:pPr>
        <w:pStyle w:val="Heading12"/>
      </w:pPr>
      <w:r w:rsidRPr="00AA093D">
        <w:t>Transactions denominated in foreign currencies and derivatives</w:t>
      </w:r>
    </w:p>
    <w:p w:rsidR="00AA093D" w:rsidP="00AA093D" w14:paraId="614C8221" w14:textId="6FB952CE">
      <w:pPr>
        <w:pStyle w:val="Bodytext2"/>
      </w:pPr>
      <w:r w:rsidRPr="00AA093D">
        <w:t>Business transactions in foreign currencies are recorded at the rates of exchange prevailing on the transaction date. Receivables and payables on the balance s</w:t>
      </w:r>
      <w:r w:rsidRPr="00AA093D">
        <w:t>heet date are valued at the exchange rates prevailing on that date. Exchange gains and losses related to business operations are treated as adjustments to other operating income and operating expenses. Exchange gains and losses related to financing operati</w:t>
      </w:r>
      <w:r w:rsidRPr="00AA093D">
        <w:t>ons are entered under financial income and expenses.</w:t>
      </w:r>
    </w:p>
    <w:p w:rsidR="00AA093D" w:rsidRPr="00AA093D" w:rsidP="00AA093D" w14:paraId="33AAAE06" w14:textId="77777777">
      <w:pPr>
        <w:pStyle w:val="Bodytext2"/>
      </w:pPr>
    </w:p>
    <w:p w:rsidR="00AA093D" w:rsidP="00AA093D" w14:paraId="4F291543" w14:textId="35E2DDBE">
      <w:pPr>
        <w:pStyle w:val="Bodytext2"/>
      </w:pPr>
      <w:r w:rsidRPr="00AA093D">
        <w:t>Derivatives are measured at fair value. Open currency derivatives, including interest components, are valued at the balance sheet date. The fair value of interest rate swaps is calculated by discounting</w:t>
      </w:r>
      <w:r w:rsidRPr="00AA093D">
        <w:t xml:space="preserve"> the future cash flows. Derivative changes in fair value are immediately recognised in financial income or expenses in the statement of income.</w:t>
      </w:r>
    </w:p>
    <w:p w:rsidR="00AA093D" w:rsidRPr="00AA093D" w:rsidP="00AA093D" w14:paraId="5B619963" w14:textId="77777777">
      <w:pPr>
        <w:pStyle w:val="Bodytext2"/>
      </w:pPr>
    </w:p>
    <w:p w:rsidR="00AA093D" w:rsidRPr="00AA093D" w:rsidP="00AA093D" w14:paraId="76218D0B" w14:textId="77777777">
      <w:pPr>
        <w:pStyle w:val="Heading12"/>
      </w:pPr>
      <w:r w:rsidRPr="00AA093D">
        <w:t>Research and development costs</w:t>
      </w:r>
    </w:p>
    <w:p w:rsidR="00AA093D" w:rsidRPr="00AA093D" w:rsidP="00AA093D" w14:paraId="002CD9CF" w14:textId="77777777">
      <w:pPr>
        <w:pStyle w:val="Bodytext2"/>
      </w:pPr>
      <w:r w:rsidRPr="00AA093D">
        <w:t>Research and development costs are expensed in the financial period in which the</w:t>
      </w:r>
      <w:r w:rsidRPr="00AA093D">
        <w:t>y occur.</w:t>
      </w:r>
    </w:p>
    <w:p w:rsidR="00AA093D" w:rsidP="00AA093D" w14:paraId="09597001" w14:textId="77777777">
      <w:pPr>
        <w:pStyle w:val="Bodytext2"/>
      </w:pPr>
    </w:p>
    <w:p w:rsidR="00AA093D" w:rsidRPr="00AA093D" w:rsidP="00AA093D" w14:paraId="53AC8296" w14:textId="4A466339">
      <w:pPr>
        <w:pStyle w:val="Heading12"/>
      </w:pPr>
      <w:r w:rsidRPr="00AA093D">
        <w:t>Receivables</w:t>
      </w:r>
    </w:p>
    <w:p w:rsidR="00AA093D" w:rsidP="00AA093D" w14:paraId="1C1A8AAA" w14:textId="472A983A">
      <w:pPr>
        <w:pStyle w:val="Bodytext2"/>
      </w:pPr>
      <w:r w:rsidRPr="00AA093D">
        <w:t>Receivables are valued to acquisition cost or to a lower probable value.</w:t>
      </w:r>
    </w:p>
    <w:p w:rsidR="00AA093D" w:rsidRPr="00AA093D" w:rsidP="00AA093D" w14:paraId="481EB5F2" w14:textId="77777777">
      <w:pPr>
        <w:pStyle w:val="Bodytext2"/>
      </w:pPr>
    </w:p>
    <w:p w:rsidR="00AA093D" w:rsidRPr="00AA093D" w:rsidP="00AA093D" w14:paraId="41465946" w14:textId="77777777">
      <w:pPr>
        <w:pStyle w:val="Heading12"/>
      </w:pPr>
      <w:r w:rsidRPr="00AA093D">
        <w:t>Fixed assets and depreciation and amortisation</w:t>
      </w:r>
    </w:p>
    <w:p w:rsidR="00AA093D" w:rsidP="00AA093D" w14:paraId="42DBB124" w14:textId="5D36ECB0">
      <w:pPr>
        <w:pStyle w:val="Bodytext2"/>
      </w:pPr>
      <w:r w:rsidRPr="00AA093D">
        <w:t>Fixed assets are valued in the balance sheet at their direct acquisition cost less accumulated depreciation and a</w:t>
      </w:r>
      <w:r w:rsidRPr="00AA093D">
        <w:t>mortisastion. Certain land areas also include revaluations.</w:t>
      </w:r>
    </w:p>
    <w:p w:rsidR="00AA093D" w:rsidRPr="00AA093D" w:rsidP="00AA093D" w14:paraId="1F230BBC" w14:textId="77777777">
      <w:pPr>
        <w:pStyle w:val="Bodytext2"/>
      </w:pPr>
    </w:p>
    <w:p w:rsidR="00AA093D" w:rsidRPr="00AA093D" w:rsidP="00AA093D" w14:paraId="01277C56" w14:textId="77777777">
      <w:pPr>
        <w:pStyle w:val="Bodytext2"/>
      </w:pPr>
      <w:r w:rsidRPr="00AA093D">
        <w:t>Depreciation and amortisation is based on the following useful lives:</w:t>
      </w:r>
    </w:p>
    <w:p w:rsidR="00AA093D" w:rsidRPr="00AA093D" w:rsidP="00AA093D" w14:paraId="62D9A2F1" w14:textId="4FD745B8">
      <w:pPr>
        <w:pStyle w:val="Bodytext2"/>
      </w:pPr>
      <w:r w:rsidRPr="00AA093D">
        <w:t>Other long-term expenditure</w:t>
      </w:r>
      <w:r>
        <w:tab/>
      </w:r>
      <w:r w:rsidRPr="00AA093D">
        <w:t>3-10 years</w:t>
      </w:r>
    </w:p>
    <w:p w:rsidR="00AA093D" w:rsidRPr="00AA093D" w:rsidP="00AA093D" w14:paraId="524CDE21" w14:textId="6B921DDE">
      <w:pPr>
        <w:pStyle w:val="Bodytext2"/>
      </w:pPr>
      <w:r w:rsidRPr="00AA093D">
        <w:t>Buildings</w:t>
      </w:r>
      <w:r>
        <w:tab/>
      </w:r>
      <w:r>
        <w:tab/>
      </w:r>
      <w:r>
        <w:tab/>
      </w:r>
      <w:r w:rsidRPr="00AA093D">
        <w:t>20-40 years</w:t>
      </w:r>
    </w:p>
    <w:p w:rsidR="00AA093D" w:rsidRPr="00AA093D" w:rsidP="00AA093D" w14:paraId="69F2707A" w14:textId="4E8435D2">
      <w:pPr>
        <w:pStyle w:val="Bodytext2"/>
      </w:pPr>
      <w:r w:rsidRPr="00AA093D">
        <w:t>Machinery and equipment</w:t>
      </w:r>
      <w:r>
        <w:tab/>
      </w:r>
      <w:r w:rsidRPr="00AA093D">
        <w:t>5-20 years</w:t>
      </w:r>
    </w:p>
    <w:p w:rsidR="00AA093D" w:rsidP="00AA093D" w14:paraId="1369C204" w14:textId="77777777">
      <w:pPr>
        <w:pStyle w:val="Bodytext2"/>
      </w:pPr>
    </w:p>
    <w:p w:rsidR="00AA093D" w:rsidRPr="00AA093D" w:rsidP="00AA093D" w14:paraId="14D1E605" w14:textId="109A8840">
      <w:pPr>
        <w:pStyle w:val="Heading12"/>
      </w:pPr>
      <w:r w:rsidRPr="00AA093D">
        <w:t>Leasing</w:t>
      </w:r>
    </w:p>
    <w:p w:rsidR="00AA093D" w:rsidRPr="00AA093D" w:rsidP="00AA093D" w14:paraId="5371FE4B" w14:textId="77777777">
      <w:pPr>
        <w:pStyle w:val="Bodytext2"/>
      </w:pPr>
      <w:r w:rsidRPr="00AA093D">
        <w:t>Lease payments are</w:t>
      </w:r>
      <w:r w:rsidRPr="00AA093D">
        <w:t xml:space="preserve"> treated as rentals.</w:t>
      </w:r>
    </w:p>
    <w:p w:rsidR="00AA093D" w:rsidP="00AA093D" w14:paraId="77A7949B" w14:textId="77777777">
      <w:pPr>
        <w:pStyle w:val="Bodytext2"/>
      </w:pPr>
    </w:p>
    <w:p w:rsidR="00AA093D" w:rsidRPr="00AA093D" w:rsidP="00AA093D" w14:paraId="57357117" w14:textId="5B44C0DC">
      <w:pPr>
        <w:pStyle w:val="Heading12"/>
      </w:pPr>
      <w:r w:rsidRPr="00AA093D">
        <w:t>Provisions</w:t>
      </w:r>
    </w:p>
    <w:p w:rsidR="00AA093D" w:rsidRPr="00AA093D" w:rsidP="00AA093D" w14:paraId="38406423" w14:textId="77777777">
      <w:pPr>
        <w:pStyle w:val="Bodytext2"/>
      </w:pPr>
      <w:r w:rsidRPr="00AA093D">
        <w:t>Provisions in the balance sheet comprise those items which the company is committed to covering either through agreements or otherwise, but which are not yet realised. Changes to provisions are included in the income statement.</w:t>
      </w:r>
    </w:p>
    <w:p w:rsidR="00AA093D" w:rsidP="00AA093D" w14:paraId="6CF3ADD2" w14:textId="77777777">
      <w:pPr>
        <w:pStyle w:val="Bodytext2"/>
      </w:pPr>
    </w:p>
    <w:p w:rsidR="00AA093D" w:rsidRPr="00AA093D" w:rsidP="00AA093D" w14:paraId="194E51F5" w14:textId="72FCF298">
      <w:pPr>
        <w:pStyle w:val="Heading12"/>
      </w:pPr>
      <w:r w:rsidRPr="00AA093D">
        <w:t>Income taxes</w:t>
      </w:r>
    </w:p>
    <w:p w:rsidR="00AA093D" w:rsidRPr="00AA093D" w:rsidP="00AA093D" w14:paraId="6CAAE32B" w14:textId="77777777">
      <w:pPr>
        <w:pStyle w:val="Bodytext2"/>
      </w:pPr>
      <w:r w:rsidRPr="00AA093D">
        <w:t>Income taxes i</w:t>
      </w:r>
      <w:r w:rsidRPr="00AA093D">
        <w:t>n the income statement include taxes calculated for the financial year based on Finnish tax provisions, as well as adjustments to taxes in prior years. Taxes allocated to extraordinary items are shown in the notes to the financial statements.</w:t>
      </w:r>
    </w:p>
    <w:p w:rsidR="00AA093D" w:rsidP="00AA093D" w14:paraId="198A9BDE" w14:textId="77777777">
      <w:pPr>
        <w:pStyle w:val="Bodytext2"/>
      </w:pPr>
    </w:p>
    <w:p w:rsidR="00AA093D" w:rsidRPr="00AA093D" w:rsidP="00AA093D" w14:paraId="72D9C72E" w14:textId="5B605430">
      <w:pPr>
        <w:pStyle w:val="Heading12"/>
      </w:pPr>
      <w:r w:rsidRPr="00AA093D">
        <w:t>Dividends</w:t>
      </w:r>
    </w:p>
    <w:p w:rsidR="00AA093D" w:rsidRPr="004128E5" w:rsidP="004128E5" w14:paraId="27BB128B" w14:textId="77777777">
      <w:pPr>
        <w:pStyle w:val="Bodytext2"/>
        <w:spacing w:before="0"/>
        <w:rPr>
          <w:sz w:val="2"/>
          <w:szCs w:val="2"/>
        </w:rPr>
      </w:pPr>
      <w:r w:rsidRPr="004128E5">
        <w:t>Di</w:t>
      </w:r>
      <w:r w:rsidRPr="004128E5">
        <w:t>vidends proposed by the Board of Directors are not recorded in the financial statements until they have been approved by the Annual General Meeting.</w:t>
      </w:r>
      <w:r w:rsidRPr="004128E5">
        <w:br w:type="column"/>
      </w:r>
    </w:p>
    <w:p w:rsidR="000C6832" w:rsidP="00B30C58" w14:paraId="5BEC1E36" w14:textId="0C4FE360">
      <w:pPr>
        <w:pStyle w:val="Heading11"/>
      </w:pPr>
      <w:bookmarkStart w:id="1211" w:name="RG_MARKER_4243"/>
      <w:bookmarkStart w:id="1212" w:name="RG_MARKER_4054"/>
      <w:r>
        <w:t>NOTES TO THE PARENT COMPANY FINANCIAL STATEMENTS</w:t>
      </w:r>
      <w:bookmarkEnd w:id="1212"/>
      <w:bookmarkEnd w:id="1211"/>
    </w:p>
    <w:p w:rsidR="00B30C58" w:rsidRPr="00B30C58" w:rsidP="00B30C58" w14:paraId="52A4438B" w14:textId="0819AC1A">
      <w:pPr>
        <w:pStyle w:val="Heading11"/>
      </w:pPr>
      <w:r w:rsidRPr="00B30C58">
        <w:t>1. OTHER OPERATING INCOME</w:t>
      </w:r>
    </w:p>
    <w:tbl>
      <w:tblPr>
        <w:tblStyle w:val="TableNormal"/>
        <w:tblCaption w:val="parent_1"/>
        <w:tblDescription w:val="1. Liiketoiminnan muut tuotot"/>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Rental income</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Services to Group companies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88</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Profit on sales of fixed assets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59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93</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w:t>
            </w:r>
          </w:p>
        </w:tc>
      </w:tr>
    </w:tbl>
    <w:p/>
    <w:p w:rsidR="00040C14" w:rsidRPr="00040C14" w:rsidP="00040C14" w14:paraId="42BE2BEC" w14:textId="77777777">
      <w:pPr>
        <w:pStyle w:val="Heading11"/>
      </w:pPr>
      <w:bookmarkStart w:id="1213" w:name="RG_MARKER_4242"/>
      <w:r w:rsidRPr="00040C14">
        <w:t>2. PERSONNEL EXPENSES</w:t>
      </w:r>
      <w:bookmarkEnd w:id="1213"/>
    </w:p>
    <w:tbl>
      <w:tblPr>
        <w:tblStyle w:val="TableNormal"/>
        <w:tblCaption w:val="parent_2"/>
        <w:tblDescription w:val="2. Henkilöstökulut"/>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Wages and salaries</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-32</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Pension costs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compulsory personnel costs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-38</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-37</w:t>
            </w:r>
          </w:p>
        </w:tc>
      </w:tr>
    </w:tbl>
    <w:p w:rsidR="00040C14" w:rsidRPr="00040C14" w:rsidP="00040C14" w14:paraId="0478473E" w14:textId="77777777">
      <w:pPr>
        <w:pStyle w:val="Bodytext2"/>
      </w:pPr>
    </w:p>
    <w:p w:rsidR="00040C14" w:rsidRPr="00040C14" w:rsidP="00040C14" w14:paraId="1551D8F6" w14:textId="77777777">
      <w:pPr>
        <w:pStyle w:val="Heading12"/>
      </w:pPr>
      <w:r w:rsidRPr="00040C14">
        <w:t>Salaries and remunerations paid to senior management</w:t>
      </w:r>
    </w:p>
    <w:p w:rsidR="009E1B7F" w:rsidP="00040C14" w14:paraId="5944E69A" w14:textId="77777777">
      <w:pPr>
        <w:pStyle w:val="Bodytext2"/>
      </w:pPr>
      <w:r w:rsidRPr="00040C14">
        <w:t>Salaries and remunerations paid to the President and CEO</w:t>
      </w:r>
      <w:r w:rsidRPr="00040C14">
        <w:t xml:space="preserve"> and members of the Board of Directors was </w:t>
      </w:r>
    </w:p>
    <w:p w:rsidR="00040C14" w:rsidP="00040C14" w14:paraId="7FFD1B1F" w14:textId="54EB1301">
      <w:pPr>
        <w:pStyle w:val="Bodytext2"/>
      </w:pPr>
      <w:r w:rsidRPr="00040C14">
        <w:t xml:space="preserve">EUR </w:t>
      </w:r>
      <w:r>
        <w:t>2</w:t>
      </w:r>
      <w:r w:rsidRPr="00040C14">
        <w:t xml:space="preserve"> million (</w:t>
      </w:r>
      <w:r w:rsidRPr="00040C14">
        <w:t xml:space="preserve">2). </w:t>
      </w:r>
    </w:p>
    <w:p w:rsidR="00040C14" w:rsidRPr="00040C14" w:rsidP="00040C14" w14:paraId="4580049C" w14:textId="77777777">
      <w:pPr>
        <w:pStyle w:val="Bodytext2"/>
      </w:pPr>
    </w:p>
    <w:p w:rsidR="00040C14" w:rsidP="00040C14" w14:paraId="2C067896" w14:textId="773DBCEE">
      <w:pPr>
        <w:pStyle w:val="Bodytext2"/>
      </w:pPr>
      <w:r w:rsidRPr="00040C14">
        <w:t xml:space="preserve">The President and CEO has the right to retire at the age of 63 years. The members of the Board of Management are entitled to retire on reaching the statutory retirement age. One member of the Board of Management </w:t>
      </w:r>
      <w:r w:rsidRPr="00040C14">
        <w:t>is entitled to retire earlier, on reaching 60 years of age.</w:t>
      </w:r>
    </w:p>
    <w:p w:rsidR="00040C14" w:rsidRPr="00040C14" w:rsidP="00040C14" w14:paraId="1685F804" w14:textId="77777777">
      <w:pPr>
        <w:pStyle w:val="Bodytext2"/>
      </w:pPr>
    </w:p>
    <w:p w:rsidR="00040C14" w:rsidP="00040C14" w14:paraId="0F4CE3F1" w14:textId="2C88672E">
      <w:pPr>
        <w:pStyle w:val="Bodytext2"/>
      </w:pPr>
      <w:r w:rsidRPr="00040C14">
        <w:t>The company's Board of Directors decides the remunerations of the President and CEO and his immediate subordinates.</w:t>
      </w:r>
    </w:p>
    <w:p w:rsidR="00040C14" w:rsidRPr="00040C14" w:rsidP="00040C14" w14:paraId="07EB0C42" w14:textId="77777777">
      <w:pPr>
        <w:pStyle w:val="Bodytext2"/>
      </w:pPr>
    </w:p>
    <w:p w:rsidR="00040C14" w:rsidP="00040C14" w14:paraId="13D1590A" w14:textId="5F41EA76">
      <w:pPr>
        <w:pStyle w:val="Bodytext2"/>
      </w:pPr>
      <w:r w:rsidRPr="00040C14">
        <w:t>Additional information about Management remuneration can be found in Consolida</w:t>
      </w:r>
      <w:r w:rsidRPr="00040C14">
        <w:t>ted Financial Statements Note 7.2. Related party disclosures.</w:t>
      </w:r>
    </w:p>
    <w:p w:rsidR="00040C14" w:rsidRPr="00040C14" w:rsidP="00040C14" w14:paraId="7ECC8A54" w14:textId="77777777">
      <w:pPr>
        <w:pStyle w:val="Bodytext2"/>
      </w:pPr>
    </w:p>
    <w:p w:rsidR="00040C14" w:rsidRPr="00040C14" w:rsidP="00040C14" w14:paraId="615188DB" w14:textId="14C5DB17">
      <w:pPr>
        <w:pStyle w:val="Bodytext2"/>
        <w:rPr>
          <w:sz w:val="2"/>
          <w:szCs w:val="2"/>
        </w:rPr>
      </w:pPr>
      <w:r w:rsidRPr="00040C14">
        <w:t xml:space="preserve">Personnel on average during the year was </w:t>
      </w:r>
      <w:r>
        <w:t>373</w:t>
      </w:r>
      <w:r w:rsidRPr="00040C14">
        <w:t xml:space="preserve"> (392).</w:t>
      </w:r>
      <w:r w:rsidRPr="00040C14">
        <w:br w:type="column"/>
      </w:r>
    </w:p>
    <w:p w:rsidR="004D22E9" w:rsidRPr="004D22E9" w:rsidP="004D22E9" w14:paraId="708F3547" w14:textId="77777777">
      <w:pPr>
        <w:pStyle w:val="Heading11"/>
      </w:pPr>
      <w:bookmarkStart w:id="1214" w:name="RG_MARKER_4241"/>
      <w:r w:rsidRPr="004D22E9">
        <w:t>3. DEPRECIATION AND AMORTISATION</w:t>
      </w:r>
      <w:bookmarkEnd w:id="1214"/>
    </w:p>
    <w:tbl>
      <w:tblPr>
        <w:tblStyle w:val="TableNormal"/>
        <w:tblCaption w:val="parent_3"/>
        <w:tblDescription w:val="3. Poistot ja arvonalentumiset"/>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Depreciation and amortisation according to plan</w:t>
            </w: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long-term expenditure</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Machinery and equipment</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Total depreciation according to plan</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 depreciations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Depreciation difference</w:t>
            </w: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Depreciation difference on 1 January</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Depreciation difference on 31 December </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bl>
    <w:p/>
    <w:p w:rsidR="00532E39" w:rsidP="00532E39" w14:paraId="58DA64D1" w14:textId="77777777">
      <w:pPr>
        <w:pStyle w:val="Heading11"/>
      </w:pPr>
      <w:bookmarkStart w:id="1215" w:name="RG_MARKER_4240"/>
      <w:r>
        <w:t>4. FINANCIAL INCOME AND EXPENSES</w:t>
      </w:r>
      <w:bookmarkEnd w:id="1215"/>
    </w:p>
    <w:tbl>
      <w:tblPr>
        <w:tblStyle w:val="TableNormal"/>
        <w:tblCaption w:val="parent_4"/>
        <w:tblDescription w:val="4. Rahoitustuotot ja -kulut"/>
        <w:tblW w:w="7365" w:type="dxa"/>
        <w:tblLayout w:type="fixed"/>
        <w:tblLook w:val="0600"/>
      </w:tblPr>
      <w:tblGrid>
        <w:gridCol w:w="300"/>
        <w:gridCol w:w="3885"/>
        <w:gridCol w:w="1590"/>
        <w:gridCol w:w="1590"/>
      </w:tblGrid>
      <w:tr>
        <w:tblPrEx>
          <w:tblW w:w="7365" w:type="dxa"/>
          <w:tblLayout w:type="fixed"/>
          <w:tblLook w:val="0600"/>
        </w:tblPrEx>
        <w:trPr>
          <w:trHeight w:hRule="exact" w:val="240"/>
        </w:trPr>
        <w:tc>
          <w:tcPr>
            <w:tcW w:w="4185" w:type="dxa"/>
            <w:gridSpan w:val="2"/>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 income</w:t>
            </w: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From Group companies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301</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301</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Other interest income </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From Group companies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From other companies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29</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income</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From Group companies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From other companies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Exchange gains and losses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expenses</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 Group companies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 other companies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8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financial expenses</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 Group companies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 other companies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-46</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388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Financial income and expenses, 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305</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304</w:t>
            </w:r>
          </w:p>
        </w:tc>
      </w:tr>
    </w:tbl>
    <w:p/>
    <w:p w:rsidR="00EF08D8" w:rsidRPr="00EF08D8" w:rsidP="00EF08D8" w14:paraId="26A82612" w14:textId="77777777">
      <w:pPr>
        <w:pStyle w:val="Heading11"/>
      </w:pPr>
      <w:bookmarkStart w:id="1216" w:name="RG_MARKER_4239"/>
      <w:r w:rsidRPr="00EF08D8">
        <w:t>5. INCOME TAXES</w:t>
      </w:r>
      <w:bookmarkEnd w:id="1216"/>
    </w:p>
    <w:tbl>
      <w:tblPr>
        <w:tblStyle w:val="TableNormal"/>
        <w:tblCaption w:val="parent_5"/>
        <w:tblDescription w:val="5. Verot"/>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Income taxes</w:t>
            </w: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For the financial period</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bl>
    <w:p w:rsidR="00EF08D8" w:rsidRPr="00EF08D8" w:rsidP="00EF08D8" w14:paraId="1BC9512A" w14:textId="77777777">
      <w:pPr>
        <w:pStyle w:val="Bodytext2"/>
        <w:rPr>
          <w:sz w:val="2"/>
          <w:szCs w:val="2"/>
        </w:rPr>
      </w:pPr>
      <w:r w:rsidRPr="00EF08D8">
        <w:br w:type="column"/>
      </w:r>
    </w:p>
    <w:p w:rsidR="00845C61" w:rsidRPr="00845C61" w:rsidP="00845C61" w14:paraId="44C3FBDA" w14:textId="77777777">
      <w:pPr>
        <w:pStyle w:val="Heading11"/>
      </w:pPr>
      <w:bookmarkStart w:id="1217" w:name="RG_MARKER_4238"/>
      <w:r w:rsidRPr="00845C61">
        <w:t>6. FIXED ASSETS</w:t>
      </w:r>
      <w:bookmarkEnd w:id="1217"/>
    </w:p>
    <w:p w:rsidR="00845C61" w:rsidRPr="00845C61" w:rsidP="00845C61" w14:paraId="2DA1A606" w14:textId="77777777">
      <w:pPr>
        <w:pStyle w:val="Heading12"/>
      </w:pPr>
      <w:r w:rsidRPr="00845C61">
        <w:t>Intangible assets</w:t>
      </w:r>
    </w:p>
    <w:tbl>
      <w:tblPr>
        <w:tblStyle w:val="TableNormal"/>
        <w:tblCaption w:val="parent_6_1"/>
        <w:tblDescription w:val="6. Pysyvät vastaavat "/>
        <w:tblW w:w="7365" w:type="dxa"/>
        <w:tblLayout w:type="fixed"/>
        <w:tblLook w:val="0600"/>
      </w:tblPr>
      <w:tblGrid>
        <w:gridCol w:w="2565"/>
        <w:gridCol w:w="795"/>
        <w:gridCol w:w="795"/>
        <w:gridCol w:w="810"/>
        <w:gridCol w:w="810"/>
        <w:gridCol w:w="795"/>
        <w:gridCol w:w="795"/>
      </w:tblGrid>
      <w:tr>
        <w:tblPrEx>
          <w:tblW w:w="7365" w:type="dxa"/>
          <w:tblLayout w:type="fixed"/>
          <w:tblLook w:val="0600"/>
        </w:tblPrEx>
        <w:trPr>
          <w:trHeight w:val="240"/>
        </w:trPr>
        <w:tc>
          <w:tcPr>
            <w:tcW w:w="25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79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Other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long-term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expenditures</w:t>
            </w:r>
          </w:p>
        </w:tc>
        <w:tc>
          <w:tcPr>
            <w:tcW w:w="81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Intangible</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assets 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construction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 progress</w:t>
            </w:r>
          </w:p>
        </w:tc>
        <w:tc>
          <w:tcPr>
            <w:tcW w:w="79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79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Acquisition cost at 1 January </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123</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79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124</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79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79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Disposals</w:t>
            </w:r>
          </w:p>
        </w:tc>
        <w:tc>
          <w:tcPr>
            <w:tcW w:w="79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10"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79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Acquisition cost at 31 December</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117</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79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118</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124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Accumulated amortisation at 1 January </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-113</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-113</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Accumulated amortisation on disposals and other changes</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Amortisation during the financial period</w:t>
            </w:r>
          </w:p>
        </w:tc>
        <w:tc>
          <w:tcPr>
            <w:tcW w:w="79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10"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79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Accumulated amortisation at 31 December</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-109</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-109</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at 31 December 2020</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79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at 31 December 2019</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795"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bl>
    <w:p w:rsidR="00845C61" w:rsidRPr="00845C61" w:rsidP="00845C61" w14:paraId="7DFD3362" w14:textId="77777777">
      <w:pPr>
        <w:pStyle w:val="Bodytext2"/>
      </w:pPr>
    </w:p>
    <w:p w:rsidR="00845C61" w:rsidRPr="00845C61" w:rsidP="00845C61" w14:paraId="75A931DB" w14:textId="77777777">
      <w:pPr>
        <w:pStyle w:val="Heading12"/>
      </w:pPr>
      <w:r w:rsidRPr="00845C61">
        <w:t>Tangible assets</w:t>
      </w:r>
    </w:p>
    <w:tbl>
      <w:tblPr>
        <w:tblStyle w:val="TableNormal"/>
        <w:tblCaption w:val="parent_6_2"/>
        <w:tblW w:w="7365" w:type="dxa"/>
        <w:tblLayout w:type="fixed"/>
        <w:tblLook w:val="0600"/>
      </w:tblPr>
      <w:tblGrid>
        <w:gridCol w:w="2565"/>
        <w:gridCol w:w="795"/>
        <w:gridCol w:w="795"/>
        <w:gridCol w:w="810"/>
        <w:gridCol w:w="810"/>
        <w:gridCol w:w="795"/>
        <w:gridCol w:w="795"/>
      </w:tblGrid>
      <w:tr>
        <w:tblPrEx>
          <w:tblW w:w="7365" w:type="dxa"/>
          <w:tblLayout w:type="fixed"/>
          <w:tblLook w:val="0600"/>
        </w:tblPrEx>
        <w:trPr>
          <w:trHeight w:val="240"/>
        </w:trPr>
        <w:tc>
          <w:tcPr>
            <w:tcW w:w="25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795" w:type="dxa"/>
            <w:tcBorders>
              <w:top w:val="nil"/>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Land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water</w:t>
            </w:r>
          </w:p>
        </w:tc>
        <w:tc>
          <w:tcPr>
            <w:tcW w:w="81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Buildings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and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structures </w:t>
            </w:r>
          </w:p>
        </w:tc>
        <w:tc>
          <w:tcPr>
            <w:tcW w:w="81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Machinery,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equipment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and other</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tangible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assets</w:t>
            </w:r>
          </w:p>
        </w:tc>
        <w:tc>
          <w:tcPr>
            <w:tcW w:w="79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79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Acquisition cost at 1 January</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c>
          <w:tcPr>
            <w:tcW w:w="79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Additions</w:t>
            </w: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79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Disposals</w:t>
            </w:r>
          </w:p>
        </w:tc>
        <w:tc>
          <w:tcPr>
            <w:tcW w:w="79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810"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79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Acquisition cost at </w:t>
            </w:r>
          </w:p>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31 December </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c>
          <w:tcPr>
            <w:tcW w:w="79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15</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Accumulated depreciation at </w:t>
            </w:r>
          </w:p>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1 January </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79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Amortisation during the financial period</w:t>
            </w:r>
          </w:p>
        </w:tc>
        <w:tc>
          <w:tcPr>
            <w:tcW w:w="79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8" w:space="0" w:color="0F172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795" w:type="dxa"/>
            <w:tcBorders>
              <w:top w:val="single" w:sz="4" w:space="0" w:color="004A6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795" w:type="dxa"/>
            <w:tcBorders>
              <w:top w:val="single" w:sz="4" w:space="0" w:color="004A6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Accumulated depreciation at 31 December</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w:t>
            </w:r>
          </w:p>
        </w:tc>
        <w:tc>
          <w:tcPr>
            <w:tcW w:w="79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at 31 December 2020</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79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at 31 December 2019</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795"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w:t>
            </w:r>
          </w:p>
        </w:tc>
      </w:tr>
    </w:tbl>
    <w:p w:rsidR="00845C61" w:rsidRPr="00845C61" w:rsidP="00845C61" w14:paraId="20B43DC8" w14:textId="77777777">
      <w:pPr>
        <w:pStyle w:val="Bodytext2"/>
      </w:pPr>
    </w:p>
    <w:p w:rsidR="00845C61" w:rsidRPr="00845C61" w:rsidP="00845C61" w14:paraId="3DB2DA14" w14:textId="77777777">
      <w:pPr>
        <w:pStyle w:val="Heading12"/>
      </w:pPr>
      <w:r w:rsidRPr="00845C61">
        <w:t>Shares and securities</w:t>
      </w:r>
    </w:p>
    <w:tbl>
      <w:tblPr>
        <w:tblStyle w:val="TableNormal"/>
        <w:tblCaption w:val="parent_6_3"/>
        <w:tblW w:w="7365" w:type="dxa"/>
        <w:tblLayout w:type="fixed"/>
        <w:tblLook w:val="0600"/>
      </w:tblPr>
      <w:tblGrid>
        <w:gridCol w:w="2565"/>
        <w:gridCol w:w="795"/>
        <w:gridCol w:w="795"/>
        <w:gridCol w:w="810"/>
        <w:gridCol w:w="810"/>
        <w:gridCol w:w="795"/>
        <w:gridCol w:w="795"/>
      </w:tblGrid>
      <w:tr>
        <w:tblPrEx>
          <w:tblW w:w="7365" w:type="dxa"/>
          <w:tblLayout w:type="fixed"/>
          <w:tblLook w:val="0600"/>
        </w:tblPrEx>
        <w:trPr>
          <w:trHeight w:val="240"/>
        </w:trPr>
        <w:tc>
          <w:tcPr>
            <w:tcW w:w="256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79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nil"/>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81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Shares in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Group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companies</w:t>
            </w:r>
          </w:p>
        </w:tc>
        <w:tc>
          <w:tcPr>
            <w:tcW w:w="81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Shares in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other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companies</w:t>
            </w:r>
          </w:p>
        </w:tc>
        <w:tc>
          <w:tcPr>
            <w:tcW w:w="79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79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Acquisition cost at 1 January</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8" w:space="0" w:color="0F172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950</w:t>
            </w:r>
          </w:p>
        </w:tc>
        <w:tc>
          <w:tcPr>
            <w:tcW w:w="810"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795" w:type="dxa"/>
            <w:tcBorders>
              <w:top w:val="single" w:sz="8" w:space="0" w:color="0F172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951</w:t>
            </w:r>
          </w:p>
        </w:tc>
        <w:tc>
          <w:tcPr>
            <w:tcW w:w="795" w:type="dxa"/>
            <w:tcBorders>
              <w:top w:val="single" w:sz="8" w:space="0" w:color="0F172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Acquisition cost at 31 December</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950</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79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951</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256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at 31 December 2020</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950</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795" w:type="dxa"/>
            <w:tcBorders>
              <w:top w:val="single" w:sz="4" w:space="0" w:color="004A6B"/>
              <w:left w:val="nil"/>
              <w:bottom w:val="single" w:sz="4" w:space="0" w:color="004A6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951</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256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at 31 December 2019</w:t>
            </w: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950</w:t>
            </w:r>
          </w:p>
        </w:tc>
        <w:tc>
          <w:tcPr>
            <w:tcW w:w="810"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795" w:type="dxa"/>
            <w:tcBorders>
              <w:top w:val="single" w:sz="4" w:space="0" w:color="004A6B"/>
              <w:left w:val="nil"/>
              <w:bottom w:val="single" w:sz="4" w:space="0" w:color="004A6B"/>
              <w:right w:val="nil"/>
              <w:tl2br w:val="nil"/>
              <w:tr2bl w:val="nil"/>
            </w:tcBorders>
            <w:shd w:val="clear" w:color="FFFFFF" w:fill="EBEBEB"/>
            <w:noWrap w:val="0"/>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795" w:type="dxa"/>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951</w:t>
            </w:r>
          </w:p>
        </w:tc>
      </w:tr>
    </w:tbl>
    <w:p/>
    <w:p w:rsidR="006E6F3B" w:rsidRPr="006E6F3B" w:rsidP="006E6F3B" w14:paraId="0B6D37E8" w14:textId="77777777">
      <w:pPr>
        <w:pStyle w:val="Heading11"/>
      </w:pPr>
      <w:bookmarkStart w:id="1218" w:name="RG_MARKER_4237"/>
      <w:r w:rsidRPr="006E6F3B">
        <w:t>7. NON-CURRENT RECEIVABLES</w:t>
      </w:r>
      <w:bookmarkEnd w:id="1218"/>
    </w:p>
    <w:tbl>
      <w:tblPr>
        <w:tblStyle w:val="TableNormal"/>
        <w:tblCaption w:val="parent_7"/>
        <w:tblDescription w:val="7. Pitkäaikaiset saamiset"/>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Receivables from Group companies</w:t>
            </w: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 receivables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r>
    </w:tbl>
    <w:p/>
    <w:p w:rsidR="00D02B8D" w:rsidRPr="00D02B8D" w:rsidP="00D02B8D" w14:paraId="6C461FE6" w14:textId="77777777">
      <w:pPr>
        <w:pStyle w:val="Heading11"/>
      </w:pPr>
      <w:bookmarkStart w:id="1219" w:name="RG_MARKER_4236"/>
      <w:r w:rsidRPr="00D02B8D">
        <w:t>8. CURRENT RECEIVABLES FROM GROUP COMPANIES</w:t>
      </w:r>
      <w:bookmarkEnd w:id="1219"/>
    </w:p>
    <w:tbl>
      <w:tblPr>
        <w:tblStyle w:val="TableNormal"/>
        <w:tblCaption w:val="parent_8"/>
        <w:tblDescription w:val="8. Lyhytaikaiset saamiset konsernin yrityksiltä"/>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Loan receivables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1,790</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2,135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w:t>
            </w:r>
          </w:p>
        </w:tc>
        <w:tc>
          <w:tcPr>
            <w:tcW w:w="159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Prepaid expenses and accrued income</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1,846</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2,193</w:t>
            </w:r>
          </w:p>
        </w:tc>
      </w:tr>
    </w:tbl>
    <w:p w:rsidR="00B14CC9" w:rsidRPr="00364375" w:rsidP="00D02B8D" w14:textId="2F2967B7">
      <w:pPr>
        <w:pStyle w:val="Bodytext2"/>
        <w:rPr>
          <w:rFonts w:asciiTheme="minorHAnsi" w:hAnsiTheme="minorHAnsi" w:cstheme="minorHAnsi"/>
          <w:sz w:val="2"/>
          <w:szCs w:val="2"/>
        </w:rPr>
      </w:pPr>
      <w:r>
        <w:rPr>
          <w:szCs w:val="15"/>
        </w:rPr>
        <w:br w:type="column"/>
      </w:r>
    </w:p>
    <w:p w:rsidR="00035173" w:rsidRPr="00035173" w:rsidP="00035173" w14:paraId="20F4CFE4" w14:textId="77777777">
      <w:pPr>
        <w:pStyle w:val="Heading11"/>
      </w:pPr>
      <w:bookmarkStart w:id="1220" w:name="RG_MARKER_4235"/>
      <w:r w:rsidRPr="00035173">
        <w:t>9. PREPAID EXPENSES AND ACCRUED INCOME</w:t>
      </w:r>
      <w:bookmarkEnd w:id="1220"/>
    </w:p>
    <w:tbl>
      <w:tblPr>
        <w:tblStyle w:val="TableNormal"/>
        <w:tblCaption w:val="parent_9"/>
        <w:tblDescription w:val="9. Siirtosaamiset"/>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41</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w:t>
            </w:r>
          </w:p>
        </w:tc>
      </w:tr>
    </w:tbl>
    <w:p/>
    <w:p w:rsidR="001D396C" w:rsidRPr="001D396C" w:rsidP="001D396C" w14:paraId="1B428783" w14:textId="77777777">
      <w:pPr>
        <w:pStyle w:val="Heading11"/>
      </w:pPr>
      <w:bookmarkStart w:id="1221" w:name="RG_MARKER_4234"/>
      <w:r w:rsidRPr="001D396C">
        <w:t>10. SHAREHOLDERS’ EQUITY</w:t>
      </w:r>
      <w:bookmarkEnd w:id="1221"/>
    </w:p>
    <w:tbl>
      <w:tblPr>
        <w:tblStyle w:val="TableNormal"/>
        <w:tblCaption w:val="parent_10"/>
        <w:tblDescription w:val="10. Oma pääoma"/>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Share capital</w:t>
            </w: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Share capital on 1 January </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336</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capital on 31 December</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336</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Share premium reserve</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premium reserve on 1 January</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Share premium reserve on 31 December</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61</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Retained earnings</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Retained earnings on 1 January</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994</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1038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Dividends paid</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-284</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-284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Result for the financial period</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265</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Retained earnings on 31 December</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974</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994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Total shareholders' equity</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1371</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1391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Distributable equity</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974</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994</w:t>
            </w:r>
          </w:p>
        </w:tc>
      </w:tr>
    </w:tbl>
    <w:p w:rsidR="001D396C" w:rsidRPr="00CA7465" w:rsidP="001D396C" w14:paraId="62556815" w14:textId="10B2C06E">
      <w:pPr>
        <w:pStyle w:val="Bodytext2"/>
        <w:rPr>
          <w:sz w:val="2"/>
          <w:szCs w:val="2"/>
        </w:rPr>
      </w:pPr>
      <w:r>
        <w:br w:type="column"/>
      </w:r>
    </w:p>
    <w:p w:rsidR="00571367" w:rsidRPr="00571367" w:rsidP="00571367" w14:paraId="14DA3FC8" w14:textId="77777777">
      <w:pPr>
        <w:pStyle w:val="Heading11"/>
      </w:pPr>
      <w:bookmarkStart w:id="1222" w:name="RG_MARKER_4233"/>
      <w:r w:rsidRPr="00571367">
        <w:t>11. LIABILITIES</w:t>
      </w:r>
      <w:bookmarkEnd w:id="1222"/>
    </w:p>
    <w:tbl>
      <w:tblPr>
        <w:tblStyle w:val="TableNormal"/>
        <w:tblCaption w:val="parent_11_1"/>
        <w:tblDescription w:val="11. Vieras pääoma"/>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w:t>
            </w: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953</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847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953</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847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Non-interest-bearing</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108</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1,202</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1,060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1,310</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1,155</w:t>
            </w:r>
          </w:p>
        </w:tc>
      </w:tr>
    </w:tbl>
    <w:p w:rsidR="00571367" w:rsidRPr="00571367" w:rsidP="00571367" w14:paraId="539C331F" w14:textId="77777777">
      <w:pPr>
        <w:pStyle w:val="Bodytext2"/>
      </w:pPr>
    </w:p>
    <w:p w:rsidR="00571367" w:rsidP="00571367" w14:paraId="2A620D25" w14:textId="7278311B">
      <w:pPr>
        <w:pStyle w:val="Heading12"/>
      </w:pPr>
      <w:r w:rsidRPr="00571367">
        <w:t>Debt w</w:t>
      </w:r>
      <w:r w:rsidRPr="00571367">
        <w:t>ith maturity profile</w:t>
      </w:r>
    </w:p>
    <w:p w:rsidR="00D50E6B" w:rsidRPr="00D50E6B" w:rsidP="00372040" w14:paraId="0800D21F" w14:textId="77777777">
      <w:pPr>
        <w:pStyle w:val="Bodytext2"/>
      </w:pPr>
    </w:p>
    <w:tbl>
      <w:tblPr>
        <w:tblStyle w:val="TableNormal"/>
        <w:tblCaption w:val="parent_11_2"/>
        <w:tblW w:w="7365" w:type="dxa"/>
        <w:tblLayout w:type="fixed"/>
        <w:tblLook w:val="0600"/>
      </w:tblPr>
      <w:tblGrid>
        <w:gridCol w:w="4185"/>
        <w:gridCol w:w="1590"/>
        <w:gridCol w:w="1590"/>
      </w:tblGrid>
      <w:tr>
        <w:tblPrEx>
          <w:tblW w:w="7365" w:type="dxa"/>
          <w:tblLayout w:type="fixed"/>
          <w:tblLook w:val="0600"/>
        </w:tblPrEx>
        <w:trPr>
          <w:trHeight w:val="240"/>
        </w:trPr>
        <w:tc>
          <w:tcPr>
            <w:tcW w:w="418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Loans from financial institutions:</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1,084</w:t>
            </w:r>
          </w:p>
        </w:tc>
        <w:tc>
          <w:tcPr>
            <w:tcW w:w="1590"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&lt;1 year</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Long-term       </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 years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661</w:t>
            </w:r>
          </w:p>
        </w:tc>
        <w:tc>
          <w:tcPr>
            <w:tcW w:w="159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 &gt;5 years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292</w:t>
            </w:r>
          </w:p>
        </w:tc>
        <w:tc>
          <w:tcPr>
            <w:tcW w:w="159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328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1,084</w:t>
            </w:r>
          </w:p>
        </w:tc>
        <w:tc>
          <w:tcPr>
            <w:tcW w:w="1590"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899</w:t>
            </w:r>
          </w:p>
        </w:tc>
      </w:tr>
    </w:tbl>
    <w:p/>
    <w:p w:rsidR="00E63364" w:rsidP="00E63364" w14:paraId="60F7C573" w14:textId="77777777">
      <w:pPr>
        <w:pStyle w:val="Heading11"/>
      </w:pPr>
      <w:bookmarkStart w:id="1223" w:name="RG_MARKER_4232"/>
      <w:r>
        <w:t>12. ACCRUED EXPENSES AND DEFERRED INCOME</w:t>
      </w:r>
      <w:bookmarkEnd w:id="1223"/>
    </w:p>
    <w:tbl>
      <w:tblPr>
        <w:tblStyle w:val="TableNormal"/>
        <w:tblCaption w:val="parent_12"/>
        <w:tblDescription w:val="12. Siirtovelat"/>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Personnel costs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and other financial items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44</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36</w:t>
            </w:r>
          </w:p>
        </w:tc>
      </w:tr>
    </w:tbl>
    <w:p w:rsidR="00E63364" w:rsidRPr="004F4E44" w:rsidP="00E63364" w14:paraId="1C5EC9D6" w14:textId="5D330373">
      <w:pPr>
        <w:pStyle w:val="Bodytext2"/>
        <w:rPr>
          <w:rFonts w:asciiTheme="minorHAnsi" w:hAnsiTheme="minorHAnsi" w:cstheme="minorHAnsi"/>
          <w:sz w:val="2"/>
          <w:szCs w:val="2"/>
        </w:rPr>
      </w:pPr>
      <w:r>
        <w:rPr>
          <w:szCs w:val="15"/>
        </w:rPr>
        <w:br w:type="column"/>
      </w:r>
    </w:p>
    <w:p w:rsidR="001D683E" w:rsidRPr="001D683E" w:rsidP="001D683E" w14:paraId="72905C2F" w14:textId="77777777">
      <w:pPr>
        <w:pStyle w:val="Heading11"/>
      </w:pPr>
      <w:bookmarkStart w:id="1224" w:name="RG_MARKER_4231"/>
      <w:r w:rsidRPr="001D683E">
        <w:t>13. LIABILITIES TO GROUP COMPANIES</w:t>
      </w:r>
      <w:bookmarkEnd w:id="1224"/>
    </w:p>
    <w:tbl>
      <w:tblPr>
        <w:tblStyle w:val="TableNormal"/>
        <w:tblCaption w:val="parent_13"/>
        <w:tblDescription w:val="13. Velat konsernin yrityksille"/>
        <w:tblW w:w="7365" w:type="dxa"/>
        <w:tblLayout w:type="fixed"/>
        <w:tblLook w:val="0600"/>
      </w:tblPr>
      <w:tblGrid>
        <w:gridCol w:w="4185"/>
        <w:gridCol w:w="1590"/>
        <w:gridCol w:w="1590"/>
      </w:tblGrid>
      <w:tr>
        <w:tblPrEx>
          <w:tblW w:w="7365" w:type="dxa"/>
          <w:tblLayout w:type="fixed"/>
          <w:tblLook w:val="0600"/>
        </w:tblPrEx>
        <w:trPr>
          <w:trHeight w:hRule="exact" w:val="240"/>
        </w:trPr>
        <w:tc>
          <w:tcPr>
            <w:tcW w:w="418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current liabilities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1,072</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Accrued expenses and deferred income</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1,129</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1,052</w:t>
            </w:r>
          </w:p>
        </w:tc>
      </w:tr>
    </w:tbl>
    <w:p/>
    <w:p w:rsidR="001E1DC2" w:rsidP="001E1DC2" w14:paraId="6463C3D8" w14:textId="77777777">
      <w:pPr>
        <w:pStyle w:val="Heading11"/>
      </w:pPr>
      <w:bookmarkStart w:id="1225" w:name="RG_MARKER_4230"/>
      <w:r>
        <w:t>14. FINANCIAL ASSETS AND LIABILITIES BY MEASUREMENT CATEGORY</w:t>
      </w:r>
      <w:bookmarkEnd w:id="1225"/>
    </w:p>
    <w:p w:rsidR="00E34EA2" w:rsidP="00E34EA2" w14:paraId="60A1115B" w14:textId="5B581093">
      <w:pPr>
        <w:pStyle w:val="Heading12"/>
      </w:pPr>
      <w:r>
        <w:t>2020</w:t>
      </w:r>
    </w:p>
    <w:tbl>
      <w:tblPr>
        <w:tblStyle w:val="TableNormal"/>
        <w:tblCaption w:val="parent_14_1"/>
        <w:tblDescription w:val="14. Rahoitusvarat ja -velat arvostusryhmittäin"/>
        <w:tblW w:w="7365" w:type="dxa"/>
        <w:tblLayout w:type="fixed"/>
        <w:tblLook w:val="0600"/>
      </w:tblPr>
      <w:tblGrid>
        <w:gridCol w:w="300"/>
        <w:gridCol w:w="3405"/>
        <w:gridCol w:w="915"/>
        <w:gridCol w:w="915"/>
        <w:gridCol w:w="915"/>
        <w:gridCol w:w="915"/>
      </w:tblGrid>
      <w:tr>
        <w:tblPrEx>
          <w:tblW w:w="7365" w:type="dxa"/>
          <w:tblLayout w:type="fixed"/>
          <w:tblLook w:val="0600"/>
        </w:tblPrEx>
        <w:trPr>
          <w:trHeight w:val="240"/>
        </w:trPr>
        <w:tc>
          <w:tcPr>
            <w:tcW w:w="3705" w:type="dxa"/>
            <w:gridSpan w:val="2"/>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1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Measured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amortised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cost</w:t>
            </w:r>
          </w:p>
        </w:tc>
        <w:tc>
          <w:tcPr>
            <w:tcW w:w="91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At 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value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through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income</w:t>
            </w:r>
          </w:p>
        </w:tc>
        <w:tc>
          <w:tcPr>
            <w:tcW w:w="91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Carrying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amounts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financial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position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items</w:t>
            </w:r>
          </w:p>
        </w:tc>
        <w:tc>
          <w:tcPr>
            <w:tcW w:w="915"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financial assets</w:t>
            </w:r>
          </w:p>
        </w:tc>
        <w:tc>
          <w:tcPr>
            <w:tcW w:w="91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receivables from Group companies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financial assets</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receivables from Group companies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1,790</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1,790</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1,790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 from Group companies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 from Group companies</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 from Group companies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equivalents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332</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332</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332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bank</w:t>
            </w:r>
          </w:p>
        </w:tc>
        <w:tc>
          <w:tcPr>
            <w:tcW w:w="91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367</w:t>
            </w:r>
          </w:p>
        </w:tc>
        <w:tc>
          <w:tcPr>
            <w:tcW w:w="91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367</w:t>
            </w:r>
          </w:p>
        </w:tc>
        <w:tc>
          <w:tcPr>
            <w:tcW w:w="91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367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by category</w:t>
            </w:r>
          </w:p>
        </w:tc>
        <w:tc>
          <w:tcPr>
            <w:tcW w:w="91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2,610</w:t>
            </w:r>
          </w:p>
        </w:tc>
        <w:tc>
          <w:tcPr>
            <w:tcW w:w="91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63</w:t>
            </w:r>
          </w:p>
        </w:tc>
        <w:tc>
          <w:tcPr>
            <w:tcW w:w="91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2,673</w:t>
            </w:r>
          </w:p>
        </w:tc>
        <w:tc>
          <w:tcPr>
            <w:tcW w:w="91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2,673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40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financial liabilities</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953</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953</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963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financial liabilities</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130</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130</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to Group companies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1,072</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1,072</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1,072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 to Group companies</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 to Group companies</w:t>
            </w:r>
          </w:p>
        </w:tc>
        <w:tc>
          <w:tcPr>
            <w:tcW w:w="915"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c>
          <w:tcPr>
            <w:tcW w:w="915"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liabilities</w:t>
            </w:r>
          </w:p>
        </w:tc>
        <w:tc>
          <w:tcPr>
            <w:tcW w:w="91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15"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c>
          <w:tcPr>
            <w:tcW w:w="915"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by category</w:t>
            </w:r>
          </w:p>
        </w:tc>
        <w:tc>
          <w:tcPr>
            <w:tcW w:w="91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2,177</w:t>
            </w:r>
          </w:p>
        </w:tc>
        <w:tc>
          <w:tcPr>
            <w:tcW w:w="91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70</w:t>
            </w:r>
          </w:p>
        </w:tc>
        <w:tc>
          <w:tcPr>
            <w:tcW w:w="91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2,247</w:t>
            </w:r>
          </w:p>
        </w:tc>
        <w:tc>
          <w:tcPr>
            <w:tcW w:w="915"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2,257</w:t>
            </w:r>
          </w:p>
        </w:tc>
      </w:tr>
    </w:tbl>
    <w:p w:rsidR="001E1DC2" w:rsidP="001E1DC2" w14:paraId="2A5FD5FF" w14:textId="77777777">
      <w:pPr>
        <w:pStyle w:val="Bodytext2"/>
        <w:rPr>
          <w:szCs w:val="15"/>
        </w:rPr>
      </w:pPr>
    </w:p>
    <w:p w:rsidR="00E34EA2" w:rsidP="00E34EA2" w14:paraId="5363C36E" w14:textId="4D71E428">
      <w:pPr>
        <w:pStyle w:val="Heading12"/>
      </w:pPr>
      <w:r>
        <w:t>2019</w:t>
      </w:r>
    </w:p>
    <w:tbl>
      <w:tblPr>
        <w:tblStyle w:val="TableNormal"/>
        <w:tblCaption w:val="parent_14_2"/>
        <w:tblW w:w="7365" w:type="dxa"/>
        <w:tblLayout w:type="fixed"/>
        <w:tblLook w:val="0600"/>
      </w:tblPr>
      <w:tblGrid>
        <w:gridCol w:w="300"/>
        <w:gridCol w:w="3405"/>
        <w:gridCol w:w="915"/>
        <w:gridCol w:w="915"/>
        <w:gridCol w:w="915"/>
        <w:gridCol w:w="915"/>
      </w:tblGrid>
      <w:tr>
        <w:tblPrEx>
          <w:tblW w:w="7365" w:type="dxa"/>
          <w:tblLayout w:type="fixed"/>
          <w:tblLook w:val="0600"/>
        </w:tblPrEx>
        <w:trPr>
          <w:trHeight w:val="240"/>
        </w:trPr>
        <w:tc>
          <w:tcPr>
            <w:tcW w:w="3705" w:type="dxa"/>
            <w:gridSpan w:val="2"/>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91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Measured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amortised</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cost</w:t>
            </w:r>
          </w:p>
        </w:tc>
        <w:tc>
          <w:tcPr>
            <w:tcW w:w="91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At 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value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through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of income</w:t>
            </w:r>
          </w:p>
        </w:tc>
        <w:tc>
          <w:tcPr>
            <w:tcW w:w="91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Carrying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amounts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the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statement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of financial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position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items</w:t>
            </w:r>
          </w:p>
        </w:tc>
        <w:tc>
          <w:tcPr>
            <w:tcW w:w="915"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Fair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value</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financial assets</w:t>
            </w:r>
          </w:p>
        </w:tc>
        <w:tc>
          <w:tcPr>
            <w:tcW w:w="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receivables from Group companies</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financial assets</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receivables from Group companies</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2,135</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2,135</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2,135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receivables from Group companies</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 from Group companies</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receivables from Group companies</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equivalents</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Cash and bank</w:t>
            </w:r>
          </w:p>
        </w:tc>
        <w:tc>
          <w:tcPr>
            <w:tcW w:w="91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c>
          <w:tcPr>
            <w:tcW w:w="91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c>
          <w:tcPr>
            <w:tcW w:w="91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3705" w:type="dxa"/>
            <w:gridSpan w:val="2"/>
            <w:tcBorders>
              <w:top w:val="single" w:sz="8" w:space="0" w:color="0F172B"/>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by category</w:t>
            </w:r>
          </w:p>
        </w:tc>
        <w:tc>
          <w:tcPr>
            <w:tcW w:w="91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2,379</w:t>
            </w:r>
          </w:p>
        </w:tc>
        <w:tc>
          <w:tcPr>
            <w:tcW w:w="91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51</w:t>
            </w:r>
          </w:p>
        </w:tc>
        <w:tc>
          <w:tcPr>
            <w:tcW w:w="91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2,430</w:t>
            </w:r>
          </w:p>
        </w:tc>
        <w:tc>
          <w:tcPr>
            <w:tcW w:w="91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2,430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40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Non-current financial liabilities</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847</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847</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Current financial liabilities</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Interest-bearing debt to Group companies</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1,008</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1,008</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1,008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Trade payables to Group companies</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4" w:space="0" w:color="004A6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Derivatives to Group companies</w:t>
            </w:r>
          </w:p>
        </w:tc>
        <w:tc>
          <w:tcPr>
            <w:tcW w:w="915"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w:t>
            </w:r>
          </w:p>
        </w:tc>
        <w:tc>
          <w:tcPr>
            <w:tcW w:w="915"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25</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4" w:space="0" w:color="004A6B"/>
              <w:left w:val="nil"/>
              <w:bottom w:val="single" w:sz="8" w:space="0" w:color="0F172B"/>
              <w:right w:val="nil"/>
              <w:tl2br w:val="nil"/>
              <w:tr2bl w:val="nil"/>
            </w:tcBorders>
            <w:shd w:val="clear" w:color="FFFFFF" w:fill="FFFFFF"/>
            <w:noWrap/>
            <w:tcMar>
              <w:left w:w="22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liabilities</w:t>
            </w:r>
          </w:p>
        </w:tc>
        <w:tc>
          <w:tcPr>
            <w:tcW w:w="91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c>
          <w:tcPr>
            <w:tcW w:w="915"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91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c>
          <w:tcPr>
            <w:tcW w:w="91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70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Carrying amount by category</w:t>
            </w:r>
          </w:p>
        </w:tc>
        <w:tc>
          <w:tcPr>
            <w:tcW w:w="91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1,940</w:t>
            </w:r>
          </w:p>
        </w:tc>
        <w:tc>
          <w:tcPr>
            <w:tcW w:w="91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49</w:t>
            </w:r>
          </w:p>
        </w:tc>
        <w:tc>
          <w:tcPr>
            <w:tcW w:w="91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1,988</w:t>
            </w:r>
          </w:p>
        </w:tc>
        <w:tc>
          <w:tcPr>
            <w:tcW w:w="915" w:type="dxa"/>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1,996</w:t>
            </w:r>
          </w:p>
        </w:tc>
      </w:tr>
    </w:tbl>
    <w:p w:rsidR="001E1DC2" w:rsidP="001E1DC2" w14:paraId="0137CABF" w14:textId="77777777">
      <w:pPr>
        <w:pStyle w:val="Bodytext2"/>
        <w:rPr>
          <w:szCs w:val="15"/>
        </w:rPr>
      </w:pPr>
    </w:p>
    <w:p w:rsidR="001E1DC2" w:rsidRPr="009D0396" w:rsidP="001E1DC2" w14:paraId="5469B8D5" w14:textId="67768F66">
      <w:pPr>
        <w:pStyle w:val="Bodytext2"/>
        <w:rPr>
          <w:sz w:val="2"/>
          <w:szCs w:val="2"/>
        </w:rPr>
      </w:pPr>
      <w:r>
        <w:rPr>
          <w:szCs w:val="15"/>
        </w:rPr>
        <w:t>Information about the fair value hierarchy and valuation principle can be found in Consolidated Financial Statements Note 5.2. Financial assets and liabilities by measurement category.</w:t>
      </w:r>
      <w:r>
        <w:rPr>
          <w:szCs w:val="15"/>
        </w:rPr>
        <w:br w:type="column"/>
      </w:r>
    </w:p>
    <w:p w:rsidR="00A762E5" w:rsidRPr="00A762E5" w:rsidP="00A762E5" w14:paraId="1CCC7DF5" w14:textId="77777777">
      <w:pPr>
        <w:pStyle w:val="Heading11"/>
      </w:pPr>
      <w:bookmarkStart w:id="1226" w:name="RG_MARKER_4229"/>
      <w:r w:rsidRPr="00A762E5">
        <w:t>15. DERIVATIVE FINANCIAL INSTRUMENTS</w:t>
      </w:r>
      <w:bookmarkEnd w:id="1226"/>
    </w:p>
    <w:p w:rsidR="006B5F73" w:rsidP="006B5F73" w14:paraId="244C0128" w14:textId="77777777">
      <w:pPr>
        <w:pStyle w:val="Heading12"/>
      </w:pPr>
      <w:r>
        <w:t>2020</w:t>
      </w:r>
    </w:p>
    <w:tbl>
      <w:tblPr>
        <w:tblStyle w:val="TableNormal"/>
        <w:tblCaption w:val="parent_15_1"/>
        <w:tblDescription w:val="15. Johdannaisinstrumentit"/>
        <w:tblW w:w="7365" w:type="dxa"/>
        <w:tblLayout w:type="fixed"/>
        <w:tblLook w:val="0600"/>
      </w:tblPr>
      <w:tblGrid>
        <w:gridCol w:w="300"/>
        <w:gridCol w:w="3915"/>
        <w:gridCol w:w="1050"/>
        <w:gridCol w:w="1050"/>
        <w:gridCol w:w="1050"/>
      </w:tblGrid>
      <w:tr>
        <w:tblPrEx>
          <w:tblW w:w="7365" w:type="dxa"/>
          <w:tblLayout w:type="fixed"/>
          <w:tblLook w:val="0600"/>
        </w:tblPrEx>
        <w:trPr>
          <w:trHeight w:val="240"/>
        </w:trPr>
        <w:tc>
          <w:tcPr>
            <w:tcW w:w="4215" w:type="dxa"/>
            <w:gridSpan w:val="2"/>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5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With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external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financial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institutions</w:t>
            </w:r>
          </w:p>
        </w:tc>
        <w:tc>
          <w:tcPr>
            <w:tcW w:w="105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With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Group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companies</w:t>
            </w:r>
          </w:p>
        </w:tc>
        <w:tc>
          <w:tcPr>
            <w:tcW w:w="105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Nominal values of derivative financial instruments </w:t>
            </w: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 transaction risk</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1,649</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1,861</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3,509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rate swaps</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450</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130</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580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Cross currency swaps</w:t>
            </w:r>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237</w:t>
            </w: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50" w:type="dxa"/>
            <w:tcBorders>
              <w:top w:val="single" w:sz="8" w:space="0" w:color="0F172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4,327</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Fair values of derivative financial instruments (level 2)</w:t>
            </w: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 transaction risk</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-23</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rate swaps</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c>
          <w:tcPr>
            <w:tcW w:w="105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Cross currency swaps</w:t>
            </w:r>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c>
          <w:tcPr>
            <w:tcW w:w="1050" w:type="dxa"/>
            <w:tcBorders>
              <w:top w:val="single" w:sz="4" w:space="0" w:color="004A6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50" w:type="dxa"/>
            <w:tcBorders>
              <w:top w:val="single" w:sz="8" w:space="0" w:color="0F172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-8</w:t>
            </w:r>
          </w:p>
        </w:tc>
      </w:tr>
    </w:tbl>
    <w:p w:rsidR="004318B5" w:rsidP="00A762E5" w14:paraId="3D30F818" w14:textId="77777777">
      <w:pPr>
        <w:pStyle w:val="Bodytext2"/>
      </w:pPr>
    </w:p>
    <w:p w:rsidR="006B5F73" w:rsidP="006B5F73" w14:paraId="5EA07A4E" w14:textId="5C212B3A">
      <w:pPr>
        <w:pStyle w:val="Heading12"/>
      </w:pPr>
      <w:r>
        <w:t>2019</w:t>
      </w:r>
    </w:p>
    <w:tbl>
      <w:tblPr>
        <w:tblStyle w:val="TableNormal"/>
        <w:tblCaption w:val="parent_15_2"/>
        <w:tblW w:w="7365" w:type="dxa"/>
        <w:tblLayout w:type="fixed"/>
        <w:tblLook w:val="0600"/>
      </w:tblPr>
      <w:tblGrid>
        <w:gridCol w:w="300"/>
        <w:gridCol w:w="3915"/>
        <w:gridCol w:w="1050"/>
        <w:gridCol w:w="1050"/>
        <w:gridCol w:w="1050"/>
      </w:tblGrid>
      <w:tr>
        <w:tblPrEx>
          <w:tblW w:w="7365" w:type="dxa"/>
          <w:tblLayout w:type="fixed"/>
          <w:tblLook w:val="0600"/>
        </w:tblPrEx>
        <w:trPr>
          <w:trHeight w:val="240"/>
        </w:trPr>
        <w:tc>
          <w:tcPr>
            <w:tcW w:w="4215" w:type="dxa"/>
            <w:gridSpan w:val="2"/>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05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With</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external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financial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institutions</w:t>
            </w:r>
          </w:p>
        </w:tc>
        <w:tc>
          <w:tcPr>
            <w:tcW w:w="1050" w:type="dxa"/>
            <w:tcBorders>
              <w:top w:val="nil"/>
              <w:left w:val="nil"/>
              <w:bottom w:val="single" w:sz="8" w:space="0" w:color="0F172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With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Group </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companies</w:t>
            </w:r>
          </w:p>
        </w:tc>
        <w:tc>
          <w:tcPr>
            <w:tcW w:w="1050"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 xml:space="preserve">Nominal values of derivative financial instruments </w:t>
            </w:r>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 transaction risk</w:t>
            </w: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2,358</w:t>
            </w: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2,448</w:t>
            </w:r>
          </w:p>
        </w:tc>
        <w:tc>
          <w:tcPr>
            <w:tcW w:w="10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4,806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rate swaps</w:t>
            </w: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400</w:t>
            </w: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130</w:t>
            </w:r>
          </w:p>
        </w:tc>
        <w:tc>
          <w:tcPr>
            <w:tcW w:w="10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530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Cross currency swaps</w:t>
            </w:r>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246</w:t>
            </w: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246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5,582</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30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3915"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Fair values of derivative financial instruments (level 2)</w:t>
            </w: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Currency forwards, transaction risk</w:t>
            </w: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c>
          <w:tcPr>
            <w:tcW w:w="1050" w:type="dxa"/>
            <w:tcBorders>
              <w:top w:val="single" w:sz="4" w:space="0" w:color="004A6B"/>
              <w:left w:val="nil"/>
              <w:bottom w:val="single" w:sz="4" w:space="0" w:color="004A6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Interest rate swaps</w:t>
            </w: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w:t>
            </w:r>
          </w:p>
        </w:tc>
        <w:tc>
          <w:tcPr>
            <w:tcW w:w="1050" w:type="dxa"/>
            <w:tcBorders>
              <w:top w:val="single" w:sz="4" w:space="0" w:color="004A6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c>
          <w:tcPr>
            <w:tcW w:w="105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-6</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Cross currency swaps</w:t>
            </w:r>
          </w:p>
        </w:tc>
        <w:tc>
          <w:tcPr>
            <w:tcW w:w="1050"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c>
          <w:tcPr>
            <w:tcW w:w="1050" w:type="dxa"/>
            <w:tcBorders>
              <w:top w:val="single" w:sz="4" w:space="0" w:color="004A6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215" w:type="dxa"/>
            <w:gridSpan w:val="2"/>
            <w:tcBorders>
              <w:top w:val="single" w:sz="8" w:space="0" w:color="0F172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FFFFFF" w:fill="FFFFFF"/>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p>
        </w:tc>
        <w:tc>
          <w:tcPr>
            <w:tcW w:w="105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w:t>
            </w:r>
          </w:p>
        </w:tc>
      </w:tr>
    </w:tbl>
    <w:p w:rsidR="00A762E5" w:rsidRPr="00A762E5" w:rsidP="00A762E5" w14:paraId="29698A13" w14:textId="77777777">
      <w:pPr>
        <w:pStyle w:val="Bodytext2"/>
      </w:pPr>
    </w:p>
    <w:p w:rsidR="00B14CC9" w:rsidRPr="00A762E5" w:rsidP="00A762E5" w14:textId="140E8A80">
      <w:pPr>
        <w:pStyle w:val="Bodytext2"/>
      </w:pPr>
      <w:r w:rsidRPr="00A762E5">
        <w:t xml:space="preserve">Foreign currency forward contracts are against transactional risks and are matched against the hedged cashflows. Interest rate swaps are denominated in euros and the </w:t>
      </w:r>
      <w:r w:rsidRPr="00A762E5">
        <w:t xml:space="preserve">average interest-bearing period for external contracts is </w:t>
      </w:r>
      <w:r>
        <w:t>59</w:t>
      </w:r>
      <w:r w:rsidRPr="00A762E5">
        <w:t xml:space="preserve"> (69) months and </w:t>
      </w:r>
      <w:r>
        <w:t>125</w:t>
      </w:r>
      <w:r w:rsidRPr="00A762E5">
        <w:t xml:space="preserve"> (137) months for intragroup contracts. The average maturity for cross currency swaps is </w:t>
      </w:r>
      <w:r>
        <w:t>30</w:t>
      </w:r>
      <w:r w:rsidRPr="00A762E5">
        <w:t xml:space="preserve"> (41) months.</w:t>
      </w:r>
    </w:p>
    <w:p w:rsidR="0033123E" w:rsidRPr="0033123E" w:rsidP="0033123E" w14:paraId="29329F20" w14:textId="77777777">
      <w:pPr>
        <w:pStyle w:val="Heading11"/>
      </w:pPr>
      <w:bookmarkStart w:id="1227" w:name="RG_MARKER_4228"/>
      <w:r w:rsidRPr="0033123E">
        <w:t>16. FINANCIAL RISKS</w:t>
      </w:r>
      <w:bookmarkEnd w:id="1227"/>
    </w:p>
    <w:p w:rsidR="0033123E" w:rsidRPr="0033123E" w:rsidP="0033123E" w14:paraId="160F5EE0" w14:textId="77777777">
      <w:pPr>
        <w:pStyle w:val="Heading12"/>
      </w:pPr>
      <w:r w:rsidRPr="0033123E">
        <w:t>General</w:t>
      </w:r>
    </w:p>
    <w:p w:rsidR="0033123E" w:rsidP="0033123E" w14:paraId="66B77F74" w14:textId="3658CCED">
      <w:pPr>
        <w:pStyle w:val="Bodytext2"/>
      </w:pPr>
      <w:r w:rsidRPr="0033123E">
        <w:t>Wärtsilä has a centralised</w:t>
      </w:r>
      <w:r w:rsidRPr="0033123E">
        <w:t xml:space="preserve"> Group Treasury with two main objectives: 1) to arrange adequate funding for the Group’s underlying operations on competitive terms and 2) to identify and evaluate the financial risks within the Group and implement the hedges for the Group companies. The G</w:t>
      </w:r>
      <w:r w:rsidRPr="0033123E">
        <w:t>roup Treasury is organisationally within the Parent Company.</w:t>
      </w:r>
    </w:p>
    <w:p w:rsidR="0033123E" w:rsidRPr="0033123E" w:rsidP="0033123E" w14:paraId="07BA6257" w14:textId="77777777">
      <w:pPr>
        <w:pStyle w:val="Bodytext2"/>
      </w:pPr>
    </w:p>
    <w:p w:rsidR="0033123E" w:rsidP="0033123E" w14:paraId="28A17B4E" w14:textId="3A6FD5B1">
      <w:pPr>
        <w:pStyle w:val="Bodytext2"/>
      </w:pPr>
      <w:r w:rsidRPr="0033123E">
        <w:t xml:space="preserve">The details about the management of the Group's financial risks are in Note </w:t>
      </w:r>
      <w:r>
        <w:t>5.8.</w:t>
      </w:r>
      <w:r w:rsidRPr="0033123E">
        <w:t xml:space="preserve"> of the Consolidated Financial statements. As the Group's liquidity and interest rate risks are managed at the paren</w:t>
      </w:r>
      <w:r w:rsidRPr="0033123E">
        <w:t>t company level the group reporting applies fully to the Parent Company.</w:t>
      </w:r>
    </w:p>
    <w:p w:rsidR="0033123E" w:rsidRPr="0033123E" w:rsidP="0033123E" w14:paraId="0CB02EC2" w14:textId="77777777">
      <w:pPr>
        <w:pStyle w:val="Bodytext2"/>
      </w:pPr>
    </w:p>
    <w:p w:rsidR="0033123E" w:rsidRPr="0033123E" w:rsidP="0033123E" w14:paraId="560423F8" w14:textId="77777777">
      <w:pPr>
        <w:pStyle w:val="Heading12"/>
      </w:pPr>
      <w:r w:rsidRPr="0033123E">
        <w:t>Foreign exchange risk</w:t>
      </w:r>
    </w:p>
    <w:p w:rsidR="0033123E" w:rsidRPr="0033123E" w:rsidP="0033123E" w14:paraId="77E4C99E" w14:textId="057A6B8E">
      <w:pPr>
        <w:pStyle w:val="Bodytext2"/>
      </w:pPr>
      <w:r w:rsidRPr="0033123E">
        <w:t xml:space="preserve">Operative foreign currency risks are followed and hedged at the subsidiary level. The Group Treasury acts as a counterparty to these hedges, if that is allowed </w:t>
      </w:r>
      <w:r w:rsidRPr="0033123E">
        <w:t>by local regulations. To enable netting of intragroup currency flows and to reduce the amount of external transactions the Group Treasury is allowed to have minor unhedged exposures in different currencies. Any gains/losses from the Group Treasury's operat</w:t>
      </w:r>
      <w:r w:rsidRPr="0033123E">
        <w:t>ions are booked directly into the financial items and we do not expect any material foreign exchange gains/losses from the Group Treasury's operations.</w:t>
      </w:r>
    </w:p>
    <w:p w:rsidR="00B14CC9" w:rsidRPr="0033123E" w:rsidP="0033123E" w14:textId="76580131">
      <w:pPr>
        <w:pStyle w:val="Bodytext2"/>
        <w:rPr>
          <w:sz w:val="2"/>
          <w:szCs w:val="2"/>
        </w:rPr>
      </w:pPr>
      <w:r>
        <w:t xml:space="preserve"> </w:t>
      </w:r>
    </w:p>
    <w:p/>
    <w:p w:rsidR="00B93D3E" w:rsidP="00B93D3E" w14:paraId="32BCB9BE" w14:textId="77777777">
      <w:pPr>
        <w:pStyle w:val="Heading11"/>
      </w:pPr>
      <w:bookmarkStart w:id="1228" w:name="RG_MARKER_4227"/>
      <w:r>
        <w:t>17. COLLATERAL, CONTINGENT LIABILITIES AND OTHER COMMITMENTS</w:t>
      </w:r>
      <w:bookmarkEnd w:id="1228"/>
    </w:p>
    <w:tbl>
      <w:tblPr>
        <w:tblStyle w:val="TableNormal"/>
        <w:tblCaption w:val="parent_17"/>
        <w:tblDescription w:val="17. Annetut vakuudet, vastuusitoumukset ja muut vastuut"/>
        <w:tblW w:w="7365" w:type="dxa"/>
        <w:tblLayout w:type="fixed"/>
        <w:tblLook w:val="0600"/>
      </w:tblPr>
      <w:tblGrid>
        <w:gridCol w:w="4185"/>
        <w:gridCol w:w="1590"/>
        <w:gridCol w:w="1590"/>
      </w:tblGrid>
      <w:tr>
        <w:tblPrEx>
          <w:tblW w:w="7365" w:type="dxa"/>
          <w:tblLayout w:type="fixed"/>
          <w:tblLook w:val="0600"/>
        </w:tblPrEx>
        <w:trPr>
          <w:trHeight w:val="240"/>
        </w:trPr>
        <w:tc>
          <w:tcPr>
            <w:tcW w:w="4185"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MEUR</w:t>
            </w:r>
          </w:p>
        </w:tc>
        <w:tc>
          <w:tcPr>
            <w:tcW w:w="159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Guarantees and contingent liabilities</w:t>
            </w: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On behalf of Group companies</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2,889</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2,773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2,889</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2,773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590" w:type="dxa"/>
            <w:tcBorders>
              <w:top w:val="single" w:sz="8" w:space="0" w:color="0F172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85" w:type="dxa"/>
            <w:tcBorders>
              <w:top w:val="single" w:sz="4" w:space="0" w:color="004A6B"/>
              <w:left w:val="nil"/>
              <w:bottom w:val="single" w:sz="4" w:space="0" w:color="004A6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Future nominal lease payments</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Payable within one year</w:t>
            </w:r>
          </w:p>
        </w:tc>
        <w:tc>
          <w:tcPr>
            <w:tcW w:w="1590" w:type="dxa"/>
            <w:tcBorders>
              <w:top w:val="single" w:sz="4" w:space="0" w:color="004A6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4</w:t>
            </w: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4</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Payable after one year</w:t>
            </w:r>
          </w:p>
        </w:tc>
        <w:tc>
          <w:tcPr>
            <w:tcW w:w="1590" w:type="dxa"/>
            <w:tcBorders>
              <w:top w:val="single" w:sz="4" w:space="0" w:color="004A6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26</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29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30</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33</w:t>
            </w:r>
          </w:p>
        </w:tc>
      </w:tr>
    </w:tbl>
    <w:p w:rsidR="00B93D3E" w:rsidRPr="00D515C4" w:rsidP="00B93D3E" w14:paraId="0D2E8385" w14:textId="3EFD93CA">
      <w:pPr>
        <w:pStyle w:val="Bodytext2"/>
        <w:rPr>
          <w:sz w:val="2"/>
          <w:szCs w:val="2"/>
        </w:rPr>
      </w:pPr>
      <w:r>
        <w:br w:type="column"/>
      </w:r>
    </w:p>
    <w:p w:rsidR="00BC31BF" w:rsidP="00BC31BF" w14:paraId="78E2C078" w14:textId="77777777">
      <w:pPr>
        <w:pStyle w:val="Heading11"/>
      </w:pPr>
      <w:bookmarkStart w:id="1229" w:name="RG_MARKER_4226"/>
      <w:r>
        <w:t>18. RELATED PARTY LOANS AND OTHER COMMITMENTS</w:t>
      </w:r>
      <w:bookmarkEnd w:id="1229"/>
    </w:p>
    <w:p w:rsidR="00BC31BF" w:rsidRPr="00BC31BF" w:rsidP="00BC31BF" w14:paraId="2E88D983" w14:textId="512ED270">
      <w:pPr>
        <w:pStyle w:val="Bodytext2"/>
      </w:pPr>
      <w:r w:rsidRPr="00BC31BF">
        <w:t xml:space="preserve">There are no loans receivables from senior management and the members of the Board of Directors. No pledges or other commitments were given on behalf of senior management or shareholders. In Note </w:t>
      </w:r>
      <w:r>
        <w:t>7.2</w:t>
      </w:r>
      <w:r w:rsidRPr="00BC31BF">
        <w:t xml:space="preserve"> in </w:t>
      </w:r>
      <w:r w:rsidRPr="00BC31BF">
        <w:t xml:space="preserve">Consolidated Financial Statements, related party disclosures are specified. Related parties comprise the Board of Directors, the President and CEO, the Board of Management as well as the associated companies and joint ventures. In Notes 8 and 13 in Parent </w:t>
      </w:r>
      <w:r w:rsidRPr="00BC31BF">
        <w:t>Company financial statement, receivables and liabilities from Group companies are specified.</w:t>
      </w:r>
    </w:p>
    <w:p/>
    <w:p w:rsidR="008A5F3F" w:rsidP="008A5F3F" w14:paraId="76F95269" w14:textId="77777777">
      <w:pPr>
        <w:pStyle w:val="Heading11"/>
        <w:rPr>
          <w:rFonts w:eastAsiaTheme="minorEastAsia" w:cstheme="minorHAnsi"/>
          <w:lang w:eastAsia="fi-FI"/>
        </w:rPr>
      </w:pPr>
      <w:bookmarkStart w:id="1230" w:name="RG_MARKER_4225"/>
      <w:r>
        <w:t>19. AUDITORS’ FEES AND SERVICES</w:t>
      </w:r>
      <w:bookmarkEnd w:id="1230"/>
    </w:p>
    <w:p w:rsidR="008A5F3F" w:rsidP="008A5F3F" w14:paraId="55DB8A3E" w14:textId="2C8AB9F2">
      <w:pPr>
        <w:pStyle w:val="Bodytext2"/>
      </w:pPr>
      <w:r w:rsidRPr="008A5F3F">
        <w:t>The following fees were paid to auditors and accounting firms for audits and other services.</w:t>
      </w:r>
    </w:p>
    <w:p w:rsidR="008A5F3F" w:rsidRPr="008A5F3F" w:rsidP="008A5F3F" w14:paraId="610C4A5C" w14:textId="77777777">
      <w:pPr>
        <w:pStyle w:val="Bodytext2"/>
      </w:pPr>
    </w:p>
    <w:p w:rsidR="008A5F3F" w:rsidP="008A5F3F" w14:paraId="62534F5A" w14:textId="2F8D9645">
      <w:pPr>
        <w:pStyle w:val="Bodytext2"/>
      </w:pPr>
      <w:r w:rsidRPr="008A5F3F">
        <w:t>In 2020, the AGM appointed the audit firm PricewaterhouseCoopers Oy as Wärtsilä Corporation's auditor.</w:t>
      </w:r>
    </w:p>
    <w:p w:rsidR="008A5F3F" w:rsidRPr="008A5F3F" w:rsidP="008A5F3F" w14:paraId="65CAAFA7" w14:textId="77777777">
      <w:pPr>
        <w:pStyle w:val="Bodytext2"/>
      </w:pPr>
    </w:p>
    <w:p w:rsidR="008A5F3F" w:rsidP="008A5F3F" w14:paraId="31181FF0" w14:textId="004DE71D">
      <w:pPr>
        <w:pStyle w:val="Heading12"/>
      </w:pPr>
      <w:r w:rsidRPr="008A5F3F">
        <w:t>Auditors' fees</w:t>
      </w:r>
    </w:p>
    <w:p w:rsidR="00D5737C" w:rsidRPr="00D5737C" w:rsidP="00D5737C" w14:paraId="47A7F955" w14:textId="77777777">
      <w:pPr>
        <w:rPr>
          <w:lang w:val="en-US" w:eastAsia="en-US"/>
        </w:rPr>
      </w:pPr>
    </w:p>
    <w:tbl>
      <w:tblPr>
        <w:tblStyle w:val="TableNormal"/>
        <w:tblCaption w:val="parent_19"/>
        <w:tblDescription w:val="19. Tilintarkastajien palkkiot"/>
        <w:tblW w:w="7365" w:type="dxa"/>
        <w:tblLayout w:type="fixed"/>
        <w:tblLook w:val="0600"/>
      </w:tblPr>
      <w:tblGrid>
        <w:gridCol w:w="4185"/>
        <w:gridCol w:w="1590"/>
        <w:gridCol w:w="1590"/>
      </w:tblGrid>
      <w:tr>
        <w:tblPrEx>
          <w:tblW w:w="7365" w:type="dxa"/>
          <w:tblLayout w:type="fixed"/>
          <w:tblLook w:val="0600"/>
        </w:tblPrEx>
        <w:trPr>
          <w:trHeight w:val="240"/>
        </w:trPr>
        <w:tc>
          <w:tcPr>
            <w:tcW w:w="4185"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TEUR</w:t>
            </w:r>
          </w:p>
        </w:tc>
        <w:tc>
          <w:tcPr>
            <w:tcW w:w="1590" w:type="dxa"/>
            <w:tcBorders>
              <w:top w:val="nil"/>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2020</w:t>
            </w:r>
          </w:p>
        </w:tc>
        <w:tc>
          <w:tcPr>
            <w:tcW w:w="1590" w:type="dxa"/>
            <w:tcBorders>
              <w:top w:val="nil"/>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2019</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 xml:space="preserve">Audit </w:t>
            </w:r>
          </w:p>
        </w:tc>
        <w:tc>
          <w:tcPr>
            <w:tcW w:w="1590" w:type="dxa"/>
            <w:tcBorders>
              <w:top w:val="single" w:sz="8" w:space="0" w:color="0F172B"/>
              <w:left w:val="nil"/>
              <w:bottom w:val="single" w:sz="4" w:space="0" w:color="004A6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341</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583</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Tax advisory</w:t>
            </w:r>
          </w:p>
        </w:tc>
        <w:tc>
          <w:tcPr>
            <w:tcW w:w="1590" w:type="dxa"/>
            <w:tcBorders>
              <w:top w:val="single" w:sz="4" w:space="0" w:color="004A6B"/>
              <w:left w:val="nil"/>
              <w:bottom w:val="single" w:sz="4" w:space="0" w:color="004A6B"/>
              <w:right w:val="nil"/>
              <w:tl2br w:val="nil"/>
              <w:tr2bl w:val="nil"/>
            </w:tcBorders>
            <w:shd w:val="clear" w:color="FFFFFF" w:fill="EBEBEB"/>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c>
          <w:tcPr>
            <w:tcW w:w="1590" w:type="dxa"/>
            <w:tcBorders>
              <w:top w:val="single" w:sz="4" w:space="0" w:color="004A6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val="240"/>
        </w:trPr>
        <w:tc>
          <w:tcPr>
            <w:tcW w:w="4185"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Other services</w:t>
            </w:r>
          </w:p>
        </w:tc>
        <w:tc>
          <w:tcPr>
            <w:tcW w:w="1590" w:type="dxa"/>
            <w:tcBorders>
              <w:top w:val="single" w:sz="4" w:space="0" w:color="004A6B"/>
              <w:left w:val="nil"/>
              <w:bottom w:val="single" w:sz="8" w:space="0" w:color="0F172B"/>
              <w:right w:val="nil"/>
              <w:tl2br w:val="nil"/>
              <w:tr2bl w:val="nil"/>
            </w:tcBorders>
            <w:shd w:val="clear" w:color="FFFFFF" w:fill="EBEBEB"/>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14</w:t>
            </w:r>
          </w:p>
        </w:tc>
        <w:tc>
          <w:tcPr>
            <w:tcW w:w="1590" w:type="dxa"/>
            <w:tcBorders>
              <w:top w:val="single" w:sz="4" w:space="0" w:color="004A6B"/>
              <w:left w:val="nil"/>
              <w:bottom w:val="single" w:sz="8" w:space="0" w:color="0F172B"/>
              <w:right w:val="nil"/>
              <w:tl2br w:val="nil"/>
              <w:tr2bl w:val="nil"/>
            </w:tcBorders>
            <w:shd w:val="clear" w:color="auto" w:fill="auto"/>
            <w:noWrap w:val="0"/>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111</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240"/>
        </w:trPr>
        <w:tc>
          <w:tcPr>
            <w:tcW w:w="4185"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Total</w:t>
            </w:r>
          </w:p>
        </w:tc>
        <w:tc>
          <w:tcPr>
            <w:tcW w:w="1590" w:type="dxa"/>
            <w:tcBorders>
              <w:top w:val="single" w:sz="8" w:space="0" w:color="0F172B"/>
              <w:left w:val="nil"/>
              <w:bottom w:val="single" w:sz="8" w:space="0" w:color="0F172B"/>
              <w:right w:val="nil"/>
              <w:tl2br w:val="nil"/>
              <w:tr2bl w:val="nil"/>
            </w:tcBorders>
            <w:shd w:val="clear" w:color="FFFFFF" w:fill="EBEBEB"/>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355</w:t>
            </w:r>
          </w:p>
        </w:tc>
        <w:tc>
          <w:tcPr>
            <w:tcW w:w="1590" w:type="dxa"/>
            <w:tcBorders>
              <w:top w:val="single" w:sz="8" w:space="0" w:color="0F172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705</w:t>
            </w:r>
          </w:p>
        </w:tc>
      </w:tr>
    </w:tbl>
    <w:p w:rsidR="00252DF1" w:rsidP="00252DF1" w14:paraId="533D068C" w14:textId="77777777">
      <w:pPr>
        <w:pStyle w:val="Heading10"/>
        <w:pageBreakBefore/>
        <w:rPr>
          <w:sz w:val="15"/>
          <w:szCs w:val="15"/>
        </w:rPr>
      </w:pPr>
      <w:bookmarkStart w:id="1231" w:name="RG_MARKER_4244"/>
      <w:r>
        <w:t>PROPOSAL OF THE BOARD</w:t>
      </w:r>
      <w:bookmarkEnd w:id="1231"/>
    </w:p>
    <w:p w:rsidR="00252DF1" w:rsidRPr="00252DF1" w:rsidP="00252DF1" w14:paraId="67310625" w14:textId="6D1682F8">
      <w:pPr>
        <w:pStyle w:val="Bodytext2"/>
      </w:pPr>
      <w:r w:rsidRPr="00252DF1">
        <w:t>The parent company’s distributable funds total EUR 9</w:t>
      </w:r>
      <w:r w:rsidR="0003181F">
        <w:t>74</w:t>
      </w:r>
      <w:r w:rsidRPr="00252DF1">
        <w:t>,</w:t>
      </w:r>
      <w:r w:rsidR="0003181F">
        <w:t>008</w:t>
      </w:r>
      <w:r w:rsidRPr="00252DF1">
        <w:t>,</w:t>
      </w:r>
      <w:r w:rsidR="0003181F">
        <w:t>736</w:t>
      </w:r>
      <w:r w:rsidRPr="00252DF1">
        <w:t>.</w:t>
      </w:r>
      <w:r w:rsidR="0003181F">
        <w:t>28</w:t>
      </w:r>
      <w:r w:rsidRPr="00252DF1">
        <w:t>, which includes EUR 2</w:t>
      </w:r>
      <w:r w:rsidR="0003181F">
        <w:t>64</w:t>
      </w:r>
      <w:r w:rsidRPr="00252DF1">
        <w:t>,</w:t>
      </w:r>
      <w:r w:rsidR="0003181F">
        <w:t>838</w:t>
      </w:r>
      <w:r w:rsidRPr="00252DF1">
        <w:t>,</w:t>
      </w:r>
      <w:r w:rsidR="0003181F">
        <w:t>387</w:t>
      </w:r>
      <w:r w:rsidRPr="00252DF1">
        <w:t>.7</w:t>
      </w:r>
      <w:r w:rsidR="0003181F">
        <w:t>2</w:t>
      </w:r>
      <w:r w:rsidRPr="00252DF1">
        <w:t xml:space="preserve"> in net profit for the year. There are 591,723,390 shares with dividend rights.</w:t>
      </w:r>
    </w:p>
    <w:p w:rsidR="00252DF1" w:rsidRPr="00252DF1" w:rsidP="00252DF1" w14:paraId="5EC598C0" w14:textId="77777777">
      <w:pPr>
        <w:pStyle w:val="Bodytext2"/>
      </w:pPr>
    </w:p>
    <w:p w:rsidR="00252DF1" w:rsidRPr="00252DF1" w:rsidP="00252DF1" w14:paraId="5D81D963" w14:textId="77777777">
      <w:pPr>
        <w:pStyle w:val="Bodytext2"/>
      </w:pPr>
      <w:r w:rsidRPr="00252DF1">
        <w:t>The Board of Directors proposes to the Annual General Meeting that the company’s distributable earnings be disposed of in the following way:</w:t>
      </w:r>
    </w:p>
    <w:p w:rsidR="00252DF1" w:rsidRPr="00252DF1" w:rsidP="00252DF1" w14:paraId="597D8A6C" w14:textId="77777777">
      <w:pPr>
        <w:pStyle w:val="Bodytext2"/>
      </w:pPr>
    </w:p>
    <w:tbl>
      <w:tblPr>
        <w:tblStyle w:val="TableNormal"/>
        <w:tblCaption w:val="Proposal_board"/>
        <w:tblW w:w="7365" w:type="dxa"/>
        <w:tblLayout w:type="fixed"/>
        <w:tblLook w:val="0600"/>
      </w:tblPr>
      <w:tblGrid>
        <w:gridCol w:w="5775"/>
        <w:gridCol w:w="1590"/>
      </w:tblGrid>
      <w:tr>
        <w:tblPrEx>
          <w:tblW w:w="7365" w:type="dxa"/>
          <w:tblLayout w:type="fixed"/>
          <w:tblLook w:val="0600"/>
        </w:tblPrEx>
        <w:trPr>
          <w:trHeight w:hRule="exact" w:val="315"/>
        </w:trPr>
        <w:tc>
          <w:tcPr>
            <w:tcW w:w="5775" w:type="dxa"/>
            <w:tcBorders>
              <w:top w:val="nil"/>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i w:val="0"/>
                <w:strike w:val="0"/>
                <w:color w:val="000000"/>
                <w:sz w:val="13"/>
                <w:u w:val="none"/>
                <w:vertAlign w:val="baseline"/>
              </w:rPr>
            </w:pPr>
            <w:r>
              <w:rPr>
                <w:rFonts w:ascii="Arial" w:eastAsia="Arial" w:hAnsi="Arial" w:cs="Arial"/>
                <w:b/>
                <w:i w:val="0"/>
                <w:strike w:val="0"/>
                <w:color w:val="000000"/>
                <w:sz w:val="13"/>
                <w:u w:val="none"/>
                <w:vertAlign w:val="baseline"/>
              </w:rPr>
              <w:t>EUR</w:t>
            </w:r>
          </w:p>
        </w:tc>
        <w:tc>
          <w:tcPr>
            <w:tcW w:w="1590" w:type="dxa"/>
            <w:tcBorders>
              <w:top w:val="nil"/>
              <w:left w:val="nil"/>
              <w:bottom w:val="single" w:sz="8" w:space="0" w:color="0F172B"/>
              <w:right w:val="nil"/>
              <w:tl2br w:val="nil"/>
              <w:tr2bl w:val="nil"/>
            </w:tcBorders>
            <w:shd w:val="clear" w:color="auto" w:fill="auto"/>
            <w:noWrap/>
            <w:tcMar>
              <w:left w:w="0" w:type="dxa"/>
              <w:right w:w="0" w:type="dxa"/>
            </w:tcMar>
            <w:textDirection w:val="lrTb"/>
            <w:tcFitText w:val="0"/>
            <w:vAlign w:val="bottom"/>
          </w:tcPr>
          <w:p>
            <w:pPr>
              <w:bidi w:val="0"/>
              <w:spacing w:before="0" w:beforeAutospacing="0" w:after="0" w:afterAutospacing="0" w:line="240" w:lineRule="auto"/>
              <w:jc w:val="right"/>
              <w:rPr>
                <w:rFonts w:ascii="Arial" w:eastAsia="Arial" w:hAnsi="Arial" w:cs="Arial"/>
                <w:b/>
                <w:i w:val="0"/>
                <w:strike w:val="0"/>
                <w:color w:val="000000"/>
                <w:sz w:val="13"/>
                <w:u w:val="none"/>
                <w:vertAlign w:val="baseline"/>
              </w:rPr>
            </w:pP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300"/>
        </w:trPr>
        <w:tc>
          <w:tcPr>
            <w:tcW w:w="5775" w:type="dxa"/>
            <w:tcBorders>
              <w:top w:val="single" w:sz="8" w:space="0" w:color="0F172B"/>
              <w:left w:val="nil"/>
              <w:bottom w:val="single" w:sz="4" w:space="0" w:color="004A6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A dividend of EUR 0.20 per share be paid, making a total of</w:t>
            </w:r>
          </w:p>
        </w:tc>
        <w:tc>
          <w:tcPr>
            <w:tcW w:w="1590" w:type="dxa"/>
            <w:tcBorders>
              <w:top w:val="single" w:sz="8" w:space="0" w:color="0F172B"/>
              <w:left w:val="nil"/>
              <w:bottom w:val="single" w:sz="4" w:space="0" w:color="004A6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118 344 678.00</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315"/>
        </w:trPr>
        <w:tc>
          <w:tcPr>
            <w:tcW w:w="5775" w:type="dxa"/>
            <w:tcBorders>
              <w:top w:val="single" w:sz="4" w:space="0" w:color="004A6B"/>
              <w:left w:val="nil"/>
              <w:bottom w:val="single" w:sz="8" w:space="0" w:color="0F172B"/>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That the following sum be retained in shareholders’ equity</w:t>
            </w:r>
          </w:p>
        </w:tc>
        <w:tc>
          <w:tcPr>
            <w:tcW w:w="1590" w:type="dxa"/>
            <w:tcBorders>
              <w:top w:val="single" w:sz="4" w:space="0" w:color="004A6B"/>
              <w:left w:val="nil"/>
              <w:bottom w:val="single" w:sz="8" w:space="0" w:color="0F172B"/>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855 664 058.28</w:t>
            </w:r>
          </w:p>
        </w:tc>
      </w:tr>
      <w:tr>
        <w:tblPrEx>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600"/>
        </w:tblPrEx>
        <w:trPr>
          <w:trHeight w:hRule="exact" w:val="300"/>
        </w:trPr>
        <w:tc>
          <w:tcPr>
            <w:tcW w:w="5775" w:type="dxa"/>
            <w:tcBorders>
              <w:top w:val="single" w:sz="8" w:space="0" w:color="0F172B"/>
              <w:left w:val="nil"/>
              <w:bottom w:val="nil"/>
              <w:right w:val="nil"/>
              <w:tl2br w:val="nil"/>
              <w:tr2bl w:val="nil"/>
            </w:tcBorders>
            <w:shd w:val="clear" w:color="FFFFFF" w:fill="FFFFFF"/>
            <w:noWrap/>
            <w:tcMar>
              <w:left w:w="40" w:type="dxa"/>
              <w:right w:w="40" w:type="dxa"/>
            </w:tcMar>
            <w:textDirection w:val="lrTb"/>
            <w:tcFitText w:val="0"/>
            <w:vAlign w:val="bottom"/>
          </w:tcPr>
          <w:p>
            <w:pPr>
              <w:bidi w:val="0"/>
              <w:spacing w:before="0" w:beforeAutospacing="0" w:after="0" w:afterAutospacing="0" w:line="240" w:lineRule="auto"/>
              <w:jc w:val="lef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Totalling</w:t>
            </w:r>
          </w:p>
        </w:tc>
        <w:tc>
          <w:tcPr>
            <w:tcW w:w="1590" w:type="dxa"/>
            <w:tcBorders>
              <w:top w:val="single" w:sz="8" w:space="0" w:color="0F172B"/>
              <w:left w:val="nil"/>
              <w:bottom w:val="nil"/>
              <w:right w:val="nil"/>
              <w:tl2br w:val="nil"/>
              <w:tr2bl w:val="nil"/>
            </w:tcBorders>
            <w:shd w:val="clear" w:color="auto" w:fill="auto"/>
            <w:noWrap/>
            <w:tcMar>
              <w:left w:w="40" w:type="dxa"/>
              <w:right w:w="40" w:type="dxa"/>
            </w:tcMar>
            <w:textDirection w:val="lrTb"/>
            <w:tcFitText w:val="0"/>
            <w:vAlign w:val="bottom"/>
          </w:tcPr>
          <w:p>
            <w:pPr>
              <w:bidi w:val="0"/>
              <w:spacing w:before="0" w:beforeAutospacing="0" w:after="0" w:afterAutospacing="0" w:line="240" w:lineRule="auto"/>
              <w:jc w:val="right"/>
              <w:rPr>
                <w:rFonts w:ascii="Arial" w:eastAsia="Arial" w:hAnsi="Arial" w:cs="Arial"/>
                <w:b w:val="0"/>
                <w:i w:val="0"/>
                <w:strike w:val="0"/>
                <w:color w:val="000000"/>
                <w:sz w:val="13"/>
                <w:u w:val="none"/>
                <w:vertAlign w:val="baseline"/>
              </w:rPr>
            </w:pPr>
            <w:r>
              <w:rPr>
                <w:rFonts w:ascii="Arial" w:eastAsia="Arial" w:hAnsi="Arial" w:cs="Arial"/>
                <w:b w:val="0"/>
                <w:i w:val="0"/>
                <w:strike w:val="0"/>
                <w:color w:val="000000"/>
                <w:sz w:val="13"/>
                <w:u w:val="none"/>
                <w:vertAlign w:val="baseline"/>
              </w:rPr>
              <w:t>974 008 736.28</w:t>
            </w:r>
          </w:p>
        </w:tc>
      </w:tr>
    </w:tbl>
    <w:p w:rsidR="00E541C3" w:rsidRPr="00252DF1" w:rsidP="00252DF1" w14:paraId="7725A826" w14:textId="77777777">
      <w:pPr>
        <w:pStyle w:val="Bodytext2"/>
      </w:pPr>
    </w:p>
    <w:p w:rsidR="00B878ED" w:rsidP="00B878ED" w14:paraId="174443E4" w14:textId="4BB85EDE">
      <w:pPr>
        <w:pStyle w:val="Bodytext2"/>
        <w:rPr>
          <w:rFonts w:eastAsia="Times New Roman"/>
        </w:rPr>
      </w:pPr>
      <w:r>
        <w:t>The dividend</w:t>
      </w:r>
      <w:r>
        <w:t xml:space="preserve"> shall be paid in two instalments. The first instalment of EUR 0.10 per share shall be paid to the shareholders who are registered in the list of shareholders maintained by Euroclear Finland Ltd on the dividend record date of 8 March 2021. The payment day </w:t>
      </w:r>
      <w:r>
        <w:t>proposed by the Board for this instalment is 15 March 2021.</w:t>
      </w:r>
    </w:p>
    <w:p w:rsidR="00252DF1" w:rsidRPr="00252DF1" w:rsidP="00252DF1" w14:paraId="721BB58D" w14:textId="77777777">
      <w:pPr>
        <w:pStyle w:val="Bodytext2"/>
      </w:pPr>
    </w:p>
    <w:p w:rsidR="00252DF1" w:rsidP="00252DF1" w14:paraId="1B16AC06" w14:textId="15CCBB1A">
      <w:pPr>
        <w:pStyle w:val="Bodytext2"/>
      </w:pPr>
      <w:r>
        <w:t>The second instalment of EUR 0.10 per share shall be paid in September 2021. The second instalment of the dividend shall be paid to shareholders who are registered in the list of shareholders mai</w:t>
      </w:r>
      <w:r>
        <w:t>ntained by Euroclear Finland Ltd on the dividend record day, which, together with the payment day, shall be decided by the Board of Directors in its meeting scheduled for 9 September 2021. The dividend record day for the second instalment as per the curren</w:t>
      </w:r>
      <w:r>
        <w:t>t rules of the Finnish book-entry system would be 13 September 2021 and the dividend payment day 20 September 2021</w:t>
      </w:r>
    </w:p>
    <w:p w:rsidR="00B878ED" w:rsidRPr="00252DF1" w:rsidP="00252DF1" w14:paraId="37D4C02C" w14:textId="77777777">
      <w:pPr>
        <w:pStyle w:val="Bodytext2"/>
      </w:pPr>
    </w:p>
    <w:p w:rsidR="00252DF1" w:rsidRPr="00252DF1" w:rsidP="00252DF1" w14:paraId="4FD22D68" w14:textId="77777777">
      <w:pPr>
        <w:pStyle w:val="Bodytext2"/>
      </w:pPr>
      <w:r w:rsidRPr="00252DF1">
        <w:t xml:space="preserve">No significant changes have taken place in the company’s financial position since the end of the financial year. The company’s liquidity is </w:t>
      </w:r>
      <w:r w:rsidRPr="00252DF1">
        <w:t>good and in the opinion of the Board of Directors the proposed dividend will not put the company’s solvency at risk.</w:t>
      </w:r>
    </w:p>
    <w:p w:rsidR="00287B33" w:rsidRPr="00882FD0" w:rsidP="00252DF1" w14:paraId="78C602FF" w14:textId="77777777">
      <w:pPr>
        <w:pStyle w:val="Bodytext2"/>
      </w:pPr>
      <w:r w:rsidRPr="00882FD0">
        <w:br w:type="column"/>
      </w:r>
    </w:p>
    <w:p w:rsidR="00287B33" w:rsidRPr="00882FD0" w:rsidP="00252DF1" w14:paraId="183034AF" w14:textId="77777777">
      <w:pPr>
        <w:pStyle w:val="Bodytext2"/>
      </w:pPr>
    </w:p>
    <w:p w:rsidR="00287B33" w:rsidRPr="00882FD0" w:rsidP="00252DF1" w14:paraId="1EE2D9CE" w14:textId="77777777">
      <w:pPr>
        <w:pStyle w:val="Bodytext2"/>
        <w:rPr>
          <w:sz w:val="20"/>
          <w:szCs w:val="20"/>
        </w:rPr>
      </w:pPr>
    </w:p>
    <w:p w:rsidR="00252DF1" w:rsidP="00252DF1" w14:paraId="194DB51F" w14:textId="0C61CC2F">
      <w:pPr>
        <w:pStyle w:val="Bodytext2"/>
        <w:rPr>
          <w:lang w:val="sv-FI"/>
        </w:rPr>
      </w:pPr>
      <w:r w:rsidRPr="0003181F">
        <w:rPr>
          <w:lang w:val="sv-FI"/>
        </w:rPr>
        <w:t>Helsinki, Finland,</w:t>
      </w:r>
      <w:r w:rsidR="0003181F">
        <w:rPr>
          <w:lang w:val="sv-FI"/>
        </w:rPr>
        <w:t xml:space="preserve"> 27</w:t>
      </w:r>
      <w:r w:rsidRPr="0003181F">
        <w:rPr>
          <w:lang w:val="sv-FI"/>
        </w:rPr>
        <w:t xml:space="preserve"> </w:t>
      </w:r>
      <w:r w:rsidR="0003181F">
        <w:rPr>
          <w:lang w:val="sv-FI"/>
        </w:rPr>
        <w:t>January</w:t>
      </w:r>
      <w:r w:rsidRPr="0003181F">
        <w:rPr>
          <w:lang w:val="sv-FI"/>
        </w:rPr>
        <w:t xml:space="preserve"> 2021</w:t>
      </w:r>
    </w:p>
    <w:p w:rsidR="00252DF1" w:rsidRPr="00287B33" w:rsidP="00252DF1" w14:paraId="7C48BE13" w14:textId="7F702D2D">
      <w:pPr>
        <w:pStyle w:val="Bodytext2"/>
        <w:rPr>
          <w:lang w:val="sv-FI"/>
        </w:rPr>
      </w:pPr>
    </w:p>
    <w:tbl>
      <w:tblPr>
        <w:tblStyle w:val="TableGrid"/>
        <w:tblpPr w:leftFromText="144" w:rightFromText="187" w:vertAnchor="text" w:horzAnchor="page" w:tblpX="8641" w:tblpY="17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85"/>
        <w:gridCol w:w="4575"/>
      </w:tblGrid>
      <w:tr w14:paraId="1759F4A2" w14:textId="77777777" w:rsidTr="00275232">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4"/>
        </w:trPr>
        <w:tc>
          <w:tcPr>
            <w:tcW w:w="2785" w:type="dxa"/>
            <w:hideMark/>
          </w:tcPr>
          <w:p w:rsidR="00275232" w14:paraId="60F82A45" w14:textId="77777777">
            <w:pPr>
              <w:pStyle w:val="Bodytext2"/>
              <w:rPr>
                <w:lang w:val="sv-FI"/>
              </w:rPr>
            </w:pPr>
            <w:r>
              <w:rPr>
                <w:lang w:val="sv-FI"/>
              </w:rPr>
              <w:t>Tom Johnstone</w:t>
            </w:r>
          </w:p>
        </w:tc>
        <w:tc>
          <w:tcPr>
            <w:tcW w:w="4575" w:type="dxa"/>
            <w:hideMark/>
          </w:tcPr>
          <w:p w:rsidR="00275232" w14:paraId="2B7A8C02" w14:textId="77777777">
            <w:pPr>
              <w:pStyle w:val="Bodytext2"/>
              <w:rPr>
                <w:lang w:val="sv-FI"/>
              </w:rPr>
            </w:pPr>
            <w:r>
              <w:rPr>
                <w:lang w:val="sv-FI"/>
              </w:rPr>
              <w:t>Markus Rauramo</w:t>
            </w:r>
          </w:p>
        </w:tc>
      </w:tr>
      <w:tr w14:paraId="21014ACB" w14:textId="77777777" w:rsidTr="00275232">
        <w:tblPrEx>
          <w:tblW w:w="0" w:type="auto"/>
          <w:tblInd w:w="0" w:type="dxa"/>
          <w:tblLook w:val="04A0"/>
        </w:tblPrEx>
        <w:trPr>
          <w:trHeight w:val="504"/>
        </w:trPr>
        <w:tc>
          <w:tcPr>
            <w:tcW w:w="2785" w:type="dxa"/>
            <w:hideMark/>
          </w:tcPr>
          <w:p w:rsidR="00275232" w14:paraId="710A9E66" w14:textId="77777777">
            <w:pPr>
              <w:pStyle w:val="Bodytext2"/>
              <w:rPr>
                <w:lang w:val="sv-FI"/>
              </w:rPr>
            </w:pPr>
            <w:r>
              <w:rPr>
                <w:lang w:val="sv-FI"/>
              </w:rPr>
              <w:t>Maarit Aarni-Sirviö</w:t>
            </w:r>
            <w:r>
              <w:rPr>
                <w:lang w:val="sv-FI"/>
              </w:rPr>
              <w:tab/>
            </w:r>
          </w:p>
        </w:tc>
        <w:tc>
          <w:tcPr>
            <w:tcW w:w="4575" w:type="dxa"/>
            <w:hideMark/>
          </w:tcPr>
          <w:p w:rsidR="00275232" w14:paraId="3F6BAE0F" w14:textId="77777777">
            <w:pPr>
              <w:pStyle w:val="Bodytext2"/>
              <w:rPr>
                <w:lang w:val="sv-FI"/>
              </w:rPr>
            </w:pPr>
            <w:r>
              <w:rPr>
                <w:lang w:val="sv-FI"/>
              </w:rPr>
              <w:t>Karen Bomba</w:t>
            </w:r>
          </w:p>
        </w:tc>
      </w:tr>
      <w:tr w14:paraId="0D40CBE2" w14:textId="77777777" w:rsidTr="00275232">
        <w:tblPrEx>
          <w:tblW w:w="0" w:type="auto"/>
          <w:tblInd w:w="0" w:type="dxa"/>
          <w:tblLook w:val="04A0"/>
        </w:tblPrEx>
        <w:trPr>
          <w:trHeight w:val="504"/>
        </w:trPr>
        <w:tc>
          <w:tcPr>
            <w:tcW w:w="2785" w:type="dxa"/>
            <w:hideMark/>
          </w:tcPr>
          <w:p w:rsidR="00275232" w14:paraId="499F2350" w14:textId="77777777">
            <w:pPr>
              <w:pStyle w:val="Bodytext2"/>
              <w:rPr>
                <w:lang w:val="fi-FI"/>
              </w:rPr>
            </w:pPr>
            <w:r>
              <w:rPr>
                <w:lang w:val="sv-FI"/>
              </w:rPr>
              <w:t>Karin Falk</w:t>
            </w:r>
            <w:r>
              <w:rPr>
                <w:lang w:val="sv-FI"/>
              </w:rPr>
              <w:tab/>
            </w:r>
          </w:p>
        </w:tc>
        <w:tc>
          <w:tcPr>
            <w:tcW w:w="4575" w:type="dxa"/>
            <w:hideMark/>
          </w:tcPr>
          <w:p w:rsidR="00275232" w14:paraId="791A9E88" w14:textId="77777777">
            <w:pPr>
              <w:pStyle w:val="Bodytext2"/>
              <w:rPr>
                <w:lang w:val="fi-FI"/>
              </w:rPr>
            </w:pPr>
            <w:r>
              <w:rPr>
                <w:lang w:val="sv-FI"/>
              </w:rPr>
              <w:t>Johan Forssell</w:t>
            </w:r>
          </w:p>
        </w:tc>
      </w:tr>
      <w:tr w14:paraId="45F4DD34" w14:textId="77777777" w:rsidTr="00275232">
        <w:tblPrEx>
          <w:tblW w:w="0" w:type="auto"/>
          <w:tblInd w:w="0" w:type="dxa"/>
          <w:tblLook w:val="04A0"/>
        </w:tblPrEx>
        <w:trPr>
          <w:trHeight w:val="504"/>
        </w:trPr>
        <w:tc>
          <w:tcPr>
            <w:tcW w:w="2785" w:type="dxa"/>
            <w:hideMark/>
          </w:tcPr>
          <w:p w:rsidR="00275232" w14:paraId="09DA55FA" w14:textId="77777777">
            <w:pPr>
              <w:pStyle w:val="Bodytext2"/>
              <w:rPr>
                <w:lang w:val="fi-FI"/>
              </w:rPr>
            </w:pPr>
            <w:r>
              <w:rPr>
                <w:lang w:val="sv-FI"/>
              </w:rPr>
              <w:t>Risto Murto</w:t>
            </w:r>
          </w:p>
        </w:tc>
        <w:tc>
          <w:tcPr>
            <w:tcW w:w="4575" w:type="dxa"/>
            <w:hideMark/>
          </w:tcPr>
          <w:p w:rsidR="00275232" w14:paraId="18210621" w14:textId="77777777">
            <w:pPr>
              <w:pStyle w:val="Bodytext2"/>
              <w:rPr>
                <w:lang w:val="fi-FI"/>
              </w:rPr>
            </w:pPr>
            <w:r>
              <w:rPr>
                <w:lang w:val="sv-FI"/>
              </w:rPr>
              <w:t>Mats Rahmström</w:t>
            </w:r>
          </w:p>
        </w:tc>
      </w:tr>
    </w:tbl>
    <w:p w:rsidR="00231CA1" w:rsidRPr="00231CA1" w:rsidP="00231CA1" w14:paraId="4BB26E65" w14:textId="6838172E">
      <w:pPr>
        <w:pStyle w:val="01body1"/>
        <w:tabs>
          <w:tab w:val="clear" w:pos="113"/>
          <w:tab w:val="left" w:pos="2268"/>
          <w:tab w:val="left" w:pos="2381"/>
        </w:tabs>
        <w:rPr>
          <w:lang w:val="en-GB"/>
        </w:rPr>
        <w:sectPr w:rsidSect="009855D7">
          <w:headerReference w:type="even" r:id="rId58"/>
          <w:headerReference w:type="default" r:id="rId59"/>
          <w:footerReference w:type="even" r:id="rId60"/>
          <w:footerReference w:type="default" r:id="rId61"/>
          <w:headerReference w:type="first" r:id="rId62"/>
          <w:footerReference w:type="first" r:id="rId63"/>
          <w:type w:val="continuous"/>
          <w:pgSz w:w="16838" w:h="11906" w:orient="landscape"/>
          <w:pgMar w:top="1814" w:right="737" w:bottom="1247" w:left="737" w:header="720" w:footer="720" w:gutter="0"/>
          <w:pgBorders w:zOrder="front" w:display="allPages" w:offsetFrom="text">
            <w:top w:val="nil"/>
            <w:left w:val="nil"/>
            <w:bottom w:val="nil"/>
            <w:right w:val="nil"/>
          </w:pgBorders>
          <w:cols w:num="2" w:sep="0" w:space="624" w:equalWidth="1"/>
          <w:vAlign w:val="top"/>
          <w:titlePg w:val="0"/>
          <w:rtlGutter w:val="0"/>
          <w:docGrid w:linePitch="360"/>
        </w:sectPr>
      </w:pPr>
      <w:r>
        <w:rPr>
          <w:rFonts w:ascii="Arial" w:hAnsi="Arial" w:eastAsiaTheme="minorHAnsi" w:cs="Arial"/>
          <w:color w:val="111111"/>
          <w:sz w:val="15"/>
          <w:lang w:eastAsia="en-US"/>
        </w:rPr>
        <w:t xml:space="preserve">                    </w:t>
      </w:r>
      <w:r w:rsidRPr="00231CA1">
        <w:rPr>
          <w:rFonts w:ascii="Arial" w:hAnsi="Arial" w:eastAsiaTheme="minorHAnsi" w:cs="Arial"/>
          <w:color w:val="111111"/>
          <w:sz w:val="15"/>
          <w:lang w:eastAsia="en-US"/>
        </w:rPr>
        <w:t xml:space="preserve">Jaakko </w:t>
      </w:r>
      <w:r w:rsidRPr="00231CA1">
        <w:rPr>
          <w:rFonts w:ascii="Arial" w:hAnsi="Arial" w:eastAsiaTheme="minorHAnsi" w:cs="Arial"/>
          <w:color w:val="111111"/>
          <w:sz w:val="15"/>
          <w:lang w:eastAsia="en-US"/>
        </w:rPr>
        <w:t>Eskola</w:t>
      </w:r>
      <w:r w:rsidRPr="00231CA1">
        <w:rPr>
          <w:rFonts w:ascii="Arial" w:hAnsi="Arial" w:eastAsiaTheme="minorHAnsi" w:cs="Arial"/>
          <w:color w:val="111111"/>
          <w:sz w:val="15"/>
          <w:lang w:eastAsia="en-US"/>
        </w:rPr>
        <w:t>, President and CEO</w:t>
      </w:r>
    </w:p>
    <w:p w:rsidR="00F17E50" w:rsidRPr="00983418" w:rsidP="003325DE" w14:paraId="0F8B25F6" w14:textId="77777777">
      <w:pPr>
        <w:pStyle w:val="Maintitle"/>
        <w:pageBreakBefore/>
        <w:rPr>
          <w:lang w:val="en-US"/>
        </w:rPr>
      </w:pPr>
      <w:bookmarkStart w:id="1236" w:name="RG_MARKER_5441"/>
      <w:r>
        <w:rPr>
          <w:lang w:val="en-US"/>
        </w:rPr>
        <w:t>A</w:t>
      </w:r>
      <w:bookmarkEnd w:id="1236"/>
      <w:r w:rsidR="00A54E90">
        <w:rPr>
          <w:lang w:val="en-US"/>
        </w:rPr>
        <w:t>uditor’s R</w:t>
      </w:r>
      <w:r w:rsidRPr="00983418" w:rsidR="00983418">
        <w:rPr>
          <w:lang w:val="en-US"/>
        </w:rPr>
        <w:t xml:space="preserve">eport </w:t>
      </w:r>
      <w:r w:rsidRPr="00B33C25" w:rsidR="00A54E90">
        <w:rPr>
          <w:sz w:val="32"/>
          <w:szCs w:val="32"/>
          <w:lang w:val="en-US"/>
        </w:rPr>
        <w:t>(Translation of</w:t>
      </w:r>
      <w:r w:rsidRPr="00B33C25" w:rsidR="00983418">
        <w:rPr>
          <w:sz w:val="32"/>
          <w:szCs w:val="32"/>
          <w:lang w:val="en-US"/>
        </w:rPr>
        <w:t xml:space="preserve"> the Finnish Original)</w:t>
      </w:r>
    </w:p>
    <w:p w:rsidR="00F17E50" w:rsidRPr="00983418" w:rsidP="00F17E50" w14:paraId="683BF9AC" w14:textId="77777777">
      <w:pPr>
        <w:pStyle w:val="BodyText"/>
        <w:rPr>
          <w:lang w:val="en-US"/>
        </w:rPr>
      </w:pPr>
      <w:r w:rsidRPr="00983418">
        <w:rPr>
          <w:lang w:val="en-US"/>
        </w:rPr>
        <w:t>To the A</w:t>
      </w:r>
      <w:r w:rsidR="00A94951">
        <w:rPr>
          <w:lang w:val="en-US"/>
        </w:rPr>
        <w:t xml:space="preserve">nnual General Meeting of </w:t>
      </w:r>
      <w:r w:rsidRPr="002A58CB" w:rsidR="0098362E">
        <w:rPr>
          <w:lang w:val="en-US"/>
        </w:rPr>
        <w:t>Wärtsilä Corporation</w:t>
      </w:r>
    </w:p>
    <w:p w:rsidR="00F17E50" w:rsidRPr="00983418" w:rsidP="00C943B0" w14:paraId="5FE63B3C" w14:textId="77777777">
      <w:pPr>
        <w:pStyle w:val="WAuditHeading1"/>
      </w:pPr>
      <w:r>
        <w:t>Report on the Audit of the Financial S</w:t>
      </w:r>
      <w:r w:rsidRPr="00983418" w:rsidR="00983418">
        <w:t>tatements</w:t>
      </w:r>
      <w:r w:rsidRPr="00983418">
        <w:t xml:space="preserve"> </w:t>
      </w:r>
    </w:p>
    <w:p w:rsidR="00F17E50" w:rsidRPr="003325DE" w:rsidP="00C943B0" w14:paraId="1E7B6163" w14:textId="77777777">
      <w:pPr>
        <w:pStyle w:val="WAuditHeading2"/>
      </w:pPr>
      <w:r>
        <w:t>Opinion</w:t>
      </w:r>
    </w:p>
    <w:p w:rsidR="00F17E50" w:rsidRPr="003325DE" w:rsidP="00F17E50" w14:paraId="7E53DEB7" w14:textId="77777777">
      <w:pPr>
        <w:pStyle w:val="BodyText"/>
      </w:pPr>
      <w:r>
        <w:t>In our opinion</w:t>
      </w:r>
      <w:r w:rsidRPr="003325DE">
        <w:t xml:space="preserve"> </w:t>
      </w:r>
    </w:p>
    <w:p w:rsidR="00F17E50" w:rsidRPr="00983418" w:rsidP="00983418" w14:paraId="729404D1" w14:textId="77777777">
      <w:pPr>
        <w:pStyle w:val="ListBullet"/>
        <w:rPr>
          <w:lang w:val="en-US"/>
        </w:rPr>
      </w:pPr>
      <w:r w:rsidRPr="00983418">
        <w:rPr>
          <w:lang w:val="en-US"/>
        </w:rPr>
        <w:t xml:space="preserve">the consolidated financial statements give a true and fair view </w:t>
      </w:r>
      <w:r w:rsidRPr="00A54E90" w:rsidR="00A54E90">
        <w:rPr>
          <w:lang w:val="en-US"/>
        </w:rPr>
        <w:t xml:space="preserve">of the group’s </w:t>
      </w:r>
      <w:r w:rsidRPr="00A54E90" w:rsidR="00C36EC1">
        <w:rPr>
          <w:lang w:val="en-US"/>
        </w:rPr>
        <w:t>financial position</w:t>
      </w:r>
      <w:r w:rsidRPr="00983418" w:rsidR="00C36EC1">
        <w:rPr>
          <w:lang w:val="en-US"/>
        </w:rPr>
        <w:t xml:space="preserve"> </w:t>
      </w:r>
      <w:r w:rsidR="00C36EC1">
        <w:rPr>
          <w:lang w:val="en-US"/>
        </w:rPr>
        <w:t>and</w:t>
      </w:r>
      <w:r w:rsidRPr="00A54E90" w:rsidR="00C36EC1">
        <w:rPr>
          <w:lang w:val="en-US"/>
        </w:rPr>
        <w:t xml:space="preserve"> </w:t>
      </w:r>
      <w:r w:rsidRPr="00A54E90" w:rsidR="00A54E90">
        <w:rPr>
          <w:lang w:val="en-US"/>
        </w:rPr>
        <w:t>financial pe</w:t>
      </w:r>
      <w:r w:rsidR="00C36EC1">
        <w:rPr>
          <w:lang w:val="en-US"/>
        </w:rPr>
        <w:t xml:space="preserve">rformance </w:t>
      </w:r>
      <w:r w:rsidR="002D2450">
        <w:rPr>
          <w:lang w:val="en-US"/>
        </w:rPr>
        <w:t xml:space="preserve">and cash flows </w:t>
      </w:r>
      <w:r w:rsidRPr="00983418">
        <w:rPr>
          <w:lang w:val="en-US"/>
        </w:rPr>
        <w:t>in accordance with International Financial Reporting Standards (IFRS) as adopted by the EU</w:t>
      </w:r>
    </w:p>
    <w:p w:rsidR="00F17E50" w:rsidP="00A16DE8" w14:paraId="3389CD53" w14:textId="77777777">
      <w:pPr>
        <w:pStyle w:val="ListBullet"/>
        <w:rPr>
          <w:lang w:val="en-US"/>
        </w:rPr>
      </w:pPr>
      <w:r w:rsidRPr="00A16DE8">
        <w:rPr>
          <w:lang w:val="en-US"/>
        </w:rPr>
        <w:t>the financial statements g</w:t>
      </w:r>
      <w:r w:rsidRPr="00A16DE8">
        <w:rPr>
          <w:lang w:val="en-US"/>
        </w:rPr>
        <w:t>ive a true and fair view of the parent company’s financial performance and financial position in accordance with the laws and regulations governing the preparation of the financial statements in Finland</w:t>
      </w:r>
      <w:r w:rsidRPr="00A16DE8" w:rsidR="00A16DE8">
        <w:rPr>
          <w:lang w:val="en-US"/>
        </w:rPr>
        <w:t xml:space="preserve"> and </w:t>
      </w:r>
      <w:r w:rsidR="003C229C">
        <w:rPr>
          <w:lang w:val="en-US"/>
        </w:rPr>
        <w:t>comply</w:t>
      </w:r>
      <w:r w:rsidRPr="00A16DE8" w:rsidR="00A16DE8">
        <w:rPr>
          <w:lang w:val="en-US"/>
        </w:rPr>
        <w:t xml:space="preserve"> with statutory requirements.</w:t>
      </w:r>
    </w:p>
    <w:p w:rsidR="006F074D" w:rsidRPr="00A16DE8" w:rsidP="006F074D" w14:paraId="4896A552" w14:textId="77777777">
      <w:pPr>
        <w:pStyle w:val="ListBullet"/>
        <w:numPr>
          <w:ilvl w:val="0"/>
          <w:numId w:val="0"/>
        </w:numPr>
        <w:rPr>
          <w:lang w:val="en-US"/>
        </w:rPr>
      </w:pPr>
      <w:r w:rsidRPr="00957A4E">
        <w:rPr>
          <w:lang w:val="en-US"/>
        </w:rPr>
        <w:t xml:space="preserve">Our </w:t>
      </w:r>
      <w:r w:rsidRPr="00957A4E">
        <w:rPr>
          <w:lang w:val="en-US"/>
        </w:rPr>
        <w:t>opinion is consistent wit</w:t>
      </w:r>
      <w:r>
        <w:rPr>
          <w:lang w:val="en-US"/>
        </w:rPr>
        <w:t>h the</w:t>
      </w:r>
      <w:r w:rsidRPr="00957A4E">
        <w:rPr>
          <w:lang w:val="en-US"/>
        </w:rPr>
        <w:t xml:space="preserve"> additional report to the A</w:t>
      </w:r>
      <w:r>
        <w:rPr>
          <w:lang w:val="en-US"/>
        </w:rPr>
        <w:t>udit C</w:t>
      </w:r>
      <w:r w:rsidRPr="00957A4E">
        <w:rPr>
          <w:lang w:val="en-US"/>
        </w:rPr>
        <w:t>ommittee</w:t>
      </w:r>
      <w:r>
        <w:rPr>
          <w:lang w:val="en-US"/>
        </w:rPr>
        <w:t>.</w:t>
      </w:r>
    </w:p>
    <w:p w:rsidR="00F17E50" w:rsidRPr="00983418" w:rsidP="00C943B0" w14:paraId="56510F28" w14:textId="77777777">
      <w:pPr>
        <w:pStyle w:val="WAuditHeading3"/>
      </w:pPr>
      <w:r w:rsidRPr="00983418">
        <w:t>What we have audited</w:t>
      </w:r>
    </w:p>
    <w:p w:rsidR="00F17E50" w:rsidRPr="00247B1E" w:rsidP="00F17E50" w14:paraId="7EBF5F99" w14:textId="77777777">
      <w:pPr>
        <w:pStyle w:val="BodyText"/>
        <w:spacing w:after="120"/>
        <w:rPr>
          <w:lang w:val="en-US"/>
        </w:rPr>
      </w:pPr>
      <w:r w:rsidRPr="00983418">
        <w:rPr>
          <w:lang w:val="en-US"/>
        </w:rPr>
        <w:t xml:space="preserve">We have audited the financial statements of </w:t>
      </w:r>
      <w:r w:rsidRPr="002A58CB" w:rsidR="0098362E">
        <w:rPr>
          <w:lang w:val="en-US"/>
        </w:rPr>
        <w:t>Wärtsilä Corporation</w:t>
      </w:r>
      <w:r w:rsidR="0098362E">
        <w:rPr>
          <w:lang w:val="en-US"/>
        </w:rPr>
        <w:t xml:space="preserve"> </w:t>
      </w:r>
      <w:r w:rsidR="00A54E90">
        <w:rPr>
          <w:lang w:val="en-US"/>
        </w:rPr>
        <w:t>(business identity code</w:t>
      </w:r>
      <w:r w:rsidR="00A94951">
        <w:rPr>
          <w:lang w:val="en-US"/>
        </w:rPr>
        <w:t xml:space="preserve"> </w:t>
      </w:r>
      <w:r w:rsidRPr="002A58CB" w:rsidR="0098362E">
        <w:rPr>
          <w:lang w:val="en-US"/>
        </w:rPr>
        <w:t>0128631-1</w:t>
      </w:r>
      <w:r w:rsidR="00335773">
        <w:rPr>
          <w:lang w:val="en-US"/>
        </w:rPr>
        <w:t xml:space="preserve">) </w:t>
      </w:r>
      <w:r w:rsidRPr="00983418">
        <w:rPr>
          <w:lang w:val="en-US"/>
        </w:rPr>
        <w:t xml:space="preserve">for the year ended </w:t>
      </w:r>
      <w:r w:rsidRPr="0098362E" w:rsidR="002A056F">
        <w:rPr>
          <w:lang w:val="en-US"/>
        </w:rPr>
        <w:t>31 December</w:t>
      </w:r>
      <w:r w:rsidRPr="0098362E">
        <w:rPr>
          <w:lang w:val="en-US"/>
        </w:rPr>
        <w:t xml:space="preserve"> 20</w:t>
      </w:r>
      <w:r w:rsidR="00B06093">
        <w:rPr>
          <w:lang w:val="en-US"/>
        </w:rPr>
        <w:t>20</w:t>
      </w:r>
      <w:r w:rsidRPr="00247B1E">
        <w:rPr>
          <w:lang w:val="en-US"/>
        </w:rPr>
        <w:t xml:space="preserve">. The financial statements </w:t>
      </w:r>
      <w:r w:rsidRPr="00247B1E">
        <w:rPr>
          <w:lang w:val="en-US"/>
        </w:rPr>
        <w:t>comprise:</w:t>
      </w:r>
    </w:p>
    <w:p w:rsidR="00F17E50" w:rsidRPr="001260B2" w:rsidP="001260B2" w14:paraId="0EC36A45" w14:textId="77777777">
      <w:pPr>
        <w:pStyle w:val="ListBullet"/>
        <w:rPr>
          <w:lang w:val="en-US"/>
        </w:rPr>
      </w:pPr>
      <w:r>
        <w:rPr>
          <w:noProof/>
        </w:rPr>
        <w:drawing>
          <wp:anchor distT="0" distB="0" distL="114300" distR="114300" simplePos="0" relativeHeight="251666432" behindDoc="0" locked="0" layoutInCell="1" allowOverlap="1">
            <wp:simplePos x="0" y="0"/>
            <wp:positionH relativeFrom="page">
              <wp:posOffset>443865</wp:posOffset>
            </wp:positionH>
            <wp:positionV relativeFrom="page">
              <wp:posOffset>6863080</wp:posOffset>
            </wp:positionV>
            <wp:extent cx="5102225" cy="502920"/>
            <wp:effectExtent l="0" t="0" r="3175" b="0"/>
            <wp:wrapNone/>
            <wp:docPr id="7" name="Picture 7"/>
            <wp:cNvGraphicFramePr/>
            <a:graphic xmlns:a="http://schemas.openxmlformats.org/drawingml/2006/main">
              <a:graphicData uri="http://schemas.openxmlformats.org/drawingml/2006/picture">
                <pic:pic xmlns:pic="http://schemas.openxmlformats.org/drawingml/2006/picture">
                  <pic:nvPicPr>
                    <pic:cNvPr id="2029670868" name="Picture 5"/>
                    <pic:cNvPicPr/>
                  </pic:nvPicPr>
                  <pic:blipFill>
                    <a:blip xmlns:r="http://schemas.openxmlformats.org/officeDocument/2006/relationships" r:embed="rId64">
                      <a:extLst>
                        <a:ext xmlns:a="http://schemas.openxmlformats.org/drawingml/2006/main" uri="{28A0092B-C50C-407E-A947-70E740481C1C}">
                          <a14:useLocalDpi xmlns:a14="http://schemas.microsoft.com/office/drawing/2010/main" val="0"/>
                        </a:ext>
                      </a:extLst>
                    </a:blip>
                    <a:stretch>
                      <a:fillRect/>
                    </a:stretch>
                  </pic:blipFill>
                  <pic:spPr>
                    <a:xfrm>
                      <a:off x="0" y="0"/>
                      <a:ext cx="5102225" cy="5029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simplePos x="0" y="0"/>
            <wp:positionH relativeFrom="page">
              <wp:posOffset>5464175</wp:posOffset>
            </wp:positionH>
            <wp:positionV relativeFrom="page">
              <wp:posOffset>6826361</wp:posOffset>
            </wp:positionV>
            <wp:extent cx="4663440" cy="164465"/>
            <wp:effectExtent l="0" t="0" r="3810" b="6985"/>
            <wp:wrapNone/>
            <wp:docPr id="6" name="Picture 6"/>
            <wp:cNvGraphicFramePr/>
            <a:graphic xmlns:a="http://schemas.openxmlformats.org/drawingml/2006/main">
              <a:graphicData uri="http://schemas.openxmlformats.org/drawingml/2006/picture">
                <pic:pic xmlns:pic="http://schemas.openxmlformats.org/drawingml/2006/picture">
                  <pic:nvPicPr>
                    <pic:cNvPr id="892946839" name="Picture 6"/>
                    <pic:cNvPicPr/>
                  </pic:nvPicPr>
                  <pic:blipFill>
                    <a:blip xmlns:r="http://schemas.openxmlformats.org/officeDocument/2006/relationships" r:embed="rId65">
                      <a:extLst>
                        <a:ext xmlns:a="http://schemas.openxmlformats.org/drawingml/2006/main" uri="{28A0092B-C50C-407E-A947-70E740481C1C}">
                          <a14:useLocalDpi xmlns:a14="http://schemas.microsoft.com/office/drawing/2010/main" val="0"/>
                        </a:ext>
                      </a:extLst>
                    </a:blip>
                    <a:stretch>
                      <a:fillRect/>
                    </a:stretch>
                  </pic:blipFill>
                  <pic:spPr>
                    <a:xfrm>
                      <a:off x="0" y="0"/>
                      <a:ext cx="4663440" cy="164465"/>
                    </a:xfrm>
                    <a:prstGeom prst="rect">
                      <a:avLst/>
                    </a:prstGeom>
                  </pic:spPr>
                </pic:pic>
              </a:graphicData>
            </a:graphic>
            <wp14:sizeRelH relativeFrom="margin">
              <wp14:pctWidth>0</wp14:pctWidth>
            </wp14:sizeRelH>
            <wp14:sizeRelV relativeFrom="margin">
              <wp14:pctHeight>0</wp14:pctHeight>
            </wp14:sizeRelV>
          </wp:anchor>
        </w:drawing>
      </w:r>
      <w:r w:rsidRPr="001260B2" w:rsidR="00272B7C">
        <w:rPr>
          <w:lang w:val="en-US"/>
        </w:rPr>
        <w:t xml:space="preserve">the consolidated </w:t>
      </w:r>
      <w:r w:rsidR="00A54E90">
        <w:rPr>
          <w:lang w:val="en-US"/>
        </w:rPr>
        <w:t>balance sheet</w:t>
      </w:r>
      <w:r w:rsidR="0016234A">
        <w:rPr>
          <w:lang w:val="en-US"/>
        </w:rPr>
        <w:t xml:space="preserve">, </w:t>
      </w:r>
      <w:r w:rsidRPr="001260B2" w:rsidR="00272B7C">
        <w:rPr>
          <w:lang w:val="en-US"/>
        </w:rPr>
        <w:t>income statement, statement of comprehensive income, st</w:t>
      </w:r>
      <w:r w:rsidR="00A54E90">
        <w:rPr>
          <w:lang w:val="en-US"/>
        </w:rPr>
        <w:t>atement of changes in equity, statement of cash flows</w:t>
      </w:r>
      <w:r w:rsidRPr="001260B2" w:rsidR="00272B7C">
        <w:rPr>
          <w:lang w:val="en-US"/>
        </w:rPr>
        <w:t xml:space="preserve"> and notes</w:t>
      </w:r>
      <w:r w:rsidR="00A54E90">
        <w:rPr>
          <w:lang w:val="en-US"/>
        </w:rPr>
        <w:t>, including a summary of s</w:t>
      </w:r>
      <w:r w:rsidRPr="001260B2" w:rsidR="001260B2">
        <w:rPr>
          <w:lang w:val="en-US"/>
        </w:rPr>
        <w:t>ignificant accounting policies</w:t>
      </w:r>
    </w:p>
    <w:p w:rsidR="00F17E50" w:rsidP="00247B1E" w14:paraId="79D08BF1" w14:textId="77777777">
      <w:pPr>
        <w:pStyle w:val="ListBullet"/>
        <w:rPr>
          <w:lang w:val="en-US"/>
        </w:rPr>
      </w:pPr>
      <w:r w:rsidRPr="00247B1E">
        <w:rPr>
          <w:lang w:val="en-US"/>
        </w:rPr>
        <w:t>the parent company’s balan</w:t>
      </w:r>
      <w:r w:rsidR="0020386F">
        <w:rPr>
          <w:lang w:val="en-US"/>
        </w:rPr>
        <w:t xml:space="preserve">ce sheet, income statement, </w:t>
      </w:r>
      <w:r w:rsidRPr="00247B1E">
        <w:rPr>
          <w:lang w:val="en-US"/>
        </w:rPr>
        <w:t>statement</w:t>
      </w:r>
      <w:r w:rsidR="0020386F">
        <w:rPr>
          <w:lang w:val="en-US"/>
        </w:rPr>
        <w:t xml:space="preserve"> of cash flows</w:t>
      </w:r>
      <w:r w:rsidRPr="00247B1E">
        <w:rPr>
          <w:lang w:val="en-US"/>
        </w:rPr>
        <w:t xml:space="preserve"> and notes</w:t>
      </w:r>
      <w:r w:rsidR="0020386F">
        <w:rPr>
          <w:lang w:val="en-US"/>
        </w:rPr>
        <w:t>.</w:t>
      </w:r>
    </w:p>
    <w:p w:rsidR="006219D5" w:rsidP="006219D5" w14:paraId="50958334" w14:textId="77777777">
      <w:pPr>
        <w:pStyle w:val="ListBullet"/>
        <w:numPr>
          <w:ilvl w:val="0"/>
          <w:numId w:val="0"/>
        </w:numPr>
        <w:spacing w:after="0" w:line="20" w:lineRule="exact"/>
        <w:ind w:left="360"/>
        <w:rPr>
          <w:lang w:val="en-US"/>
        </w:rPr>
      </w:pPr>
      <w:r>
        <w:rPr>
          <w:lang w:val="en-US"/>
        </w:rPr>
        <w:br w:type="column"/>
      </w:r>
    </w:p>
    <w:p w:rsidR="00F17E50" w:rsidRPr="00A93858" w:rsidP="00C943B0" w14:paraId="12D7360A" w14:textId="77777777">
      <w:pPr>
        <w:pStyle w:val="WAuditHeading2"/>
        <w:rPr>
          <w:lang w:val="en-US"/>
        </w:rPr>
      </w:pPr>
      <w:r>
        <w:rPr>
          <w:lang w:val="en-US"/>
        </w:rPr>
        <w:t>Basis for O</w:t>
      </w:r>
      <w:r w:rsidRPr="00A93858" w:rsidR="00A93858">
        <w:rPr>
          <w:lang w:val="en-US"/>
        </w:rPr>
        <w:t>pinion</w:t>
      </w:r>
      <w:r w:rsidRPr="00A93858">
        <w:rPr>
          <w:lang w:val="en-US"/>
        </w:rPr>
        <w:t xml:space="preserve"> </w:t>
      </w:r>
    </w:p>
    <w:p w:rsidR="00F17E50" w:rsidRPr="00A93858" w:rsidP="00F17E50" w14:paraId="6540D06F" w14:textId="77777777">
      <w:pPr>
        <w:pStyle w:val="BodyText"/>
        <w:rPr>
          <w:lang w:val="en-US"/>
        </w:rPr>
      </w:pPr>
      <w:r w:rsidRPr="00A93858">
        <w:rPr>
          <w:lang w:val="en-US"/>
        </w:rPr>
        <w:t xml:space="preserve">We conducted our audit in accordance with good auditing practice in Finland. Our responsibilities under </w:t>
      </w:r>
      <w:r>
        <w:rPr>
          <w:lang w:val="en-US"/>
        </w:rPr>
        <w:t>good auditing practice</w:t>
      </w:r>
      <w:r w:rsidRPr="00A93858">
        <w:rPr>
          <w:lang w:val="en-US"/>
        </w:rPr>
        <w:t xml:space="preserve"> are further described in the Auditor’s </w:t>
      </w:r>
      <w:r w:rsidR="0020386F">
        <w:rPr>
          <w:lang w:val="en-US"/>
        </w:rPr>
        <w:t>R</w:t>
      </w:r>
      <w:r w:rsidRPr="00A93858">
        <w:rPr>
          <w:lang w:val="en-US"/>
        </w:rPr>
        <w:t>espon</w:t>
      </w:r>
      <w:r w:rsidRPr="00A93858">
        <w:rPr>
          <w:lang w:val="en-US"/>
        </w:rPr>
        <w:t xml:space="preserve">sibilities for the </w:t>
      </w:r>
      <w:r w:rsidR="0020386F">
        <w:rPr>
          <w:lang w:val="en-US"/>
        </w:rPr>
        <w:t>A</w:t>
      </w:r>
      <w:r w:rsidRPr="00A93858">
        <w:rPr>
          <w:lang w:val="en-US"/>
        </w:rPr>
        <w:t xml:space="preserve">udit of the </w:t>
      </w:r>
      <w:r w:rsidR="0020386F">
        <w:rPr>
          <w:lang w:val="en-US"/>
        </w:rPr>
        <w:t>F</w:t>
      </w:r>
      <w:r w:rsidRPr="00A93858">
        <w:rPr>
          <w:lang w:val="en-US"/>
        </w:rPr>
        <w:t xml:space="preserve">inancial </w:t>
      </w:r>
      <w:r w:rsidR="0020386F">
        <w:rPr>
          <w:lang w:val="en-US"/>
        </w:rPr>
        <w:t>S</w:t>
      </w:r>
      <w:r w:rsidRPr="00A93858">
        <w:rPr>
          <w:lang w:val="en-US"/>
        </w:rPr>
        <w:t>tatements section of our report.</w:t>
      </w:r>
    </w:p>
    <w:p w:rsidR="00E06C4E" w:rsidRPr="00C509F6" w:rsidP="00E06C4E" w14:paraId="02891203" w14:textId="77777777">
      <w:pPr>
        <w:pStyle w:val="BodyText"/>
        <w:rPr>
          <w:lang w:val="en-US"/>
        </w:rPr>
      </w:pPr>
      <w:r w:rsidRPr="00C509F6">
        <w:rPr>
          <w:lang w:val="en-US"/>
        </w:rPr>
        <w:t xml:space="preserve">We believe that the audit evidence we have obtained is sufficient and appropriate to provide a basis for our opinion. </w:t>
      </w:r>
    </w:p>
    <w:p w:rsidR="00E06C4E" w:rsidRPr="00B357B9" w:rsidP="00C943B0" w14:paraId="5F84AED7" w14:textId="77777777">
      <w:pPr>
        <w:pStyle w:val="WAuditHeading3"/>
      </w:pPr>
      <w:r w:rsidRPr="00B357B9">
        <w:t>Independence</w:t>
      </w:r>
    </w:p>
    <w:p w:rsidR="00B357B9" w:rsidP="00B357B9" w14:paraId="00345F54" w14:textId="77777777">
      <w:pPr>
        <w:pStyle w:val="BodyText"/>
        <w:rPr>
          <w:lang w:val="en-US"/>
        </w:rPr>
      </w:pPr>
      <w:r w:rsidRPr="00B357B9">
        <w:rPr>
          <w:lang w:val="en-US"/>
        </w:rPr>
        <w:t>We are independ</w:t>
      </w:r>
      <w:r>
        <w:rPr>
          <w:lang w:val="en-US"/>
        </w:rPr>
        <w:t>ent of the parent c</w:t>
      </w:r>
      <w:r w:rsidRPr="00B357B9">
        <w:rPr>
          <w:lang w:val="en-US"/>
        </w:rPr>
        <w:t xml:space="preserve">ompany </w:t>
      </w:r>
      <w:r>
        <w:rPr>
          <w:lang w:val="en-US"/>
        </w:rPr>
        <w:t xml:space="preserve">and of </w:t>
      </w:r>
      <w:r>
        <w:rPr>
          <w:lang w:val="en-US"/>
        </w:rPr>
        <w:t>the group</w:t>
      </w:r>
      <w:r w:rsidR="0020386F">
        <w:rPr>
          <w:lang w:val="en-US"/>
        </w:rPr>
        <w:t xml:space="preserve"> companies</w:t>
      </w:r>
      <w:r>
        <w:rPr>
          <w:lang w:val="en-US"/>
        </w:rPr>
        <w:t xml:space="preserve"> </w:t>
      </w:r>
      <w:r w:rsidRPr="00B357B9">
        <w:rPr>
          <w:lang w:val="en-US"/>
        </w:rPr>
        <w:t>in ac</w:t>
      </w:r>
      <w:r>
        <w:rPr>
          <w:lang w:val="en-US"/>
        </w:rPr>
        <w:t xml:space="preserve">cordance with </w:t>
      </w:r>
      <w:r w:rsidRPr="00B357B9">
        <w:rPr>
          <w:lang w:val="en-US"/>
        </w:rPr>
        <w:t xml:space="preserve">the ethical requirements that are </w:t>
      </w:r>
      <w:r w:rsidR="0020386F">
        <w:rPr>
          <w:lang w:val="en-US"/>
        </w:rPr>
        <w:t xml:space="preserve">applicable in Finland and are </w:t>
      </w:r>
      <w:r w:rsidRPr="00B357B9">
        <w:rPr>
          <w:lang w:val="en-US"/>
        </w:rPr>
        <w:t>relevant to our audit, and we</w:t>
      </w:r>
      <w:r>
        <w:rPr>
          <w:lang w:val="en-US"/>
        </w:rPr>
        <w:t xml:space="preserve"> </w:t>
      </w:r>
      <w:r w:rsidRPr="00B357B9">
        <w:rPr>
          <w:lang w:val="en-US"/>
        </w:rPr>
        <w:t>have fulfilled our other ethical responsibilities in accordance with these</w:t>
      </w:r>
      <w:r>
        <w:rPr>
          <w:lang w:val="en-US"/>
        </w:rPr>
        <w:t xml:space="preserve"> requirements</w:t>
      </w:r>
      <w:r w:rsidRPr="00B357B9">
        <w:rPr>
          <w:lang w:val="en-US"/>
        </w:rPr>
        <w:t>.</w:t>
      </w:r>
    </w:p>
    <w:p w:rsidR="00957A4E" w:rsidP="00B357B9" w14:paraId="7439CF3D" w14:textId="77777777">
      <w:pPr>
        <w:pStyle w:val="BodyText"/>
        <w:rPr>
          <w:lang w:val="en-US"/>
        </w:rPr>
      </w:pPr>
      <w:r w:rsidRPr="00CA5B67">
        <w:rPr>
          <w:lang w:val="en-US"/>
        </w:rPr>
        <w:t>To the best of our knowledge and b</w:t>
      </w:r>
      <w:r w:rsidRPr="00CA5B67">
        <w:rPr>
          <w:lang w:val="en-US"/>
        </w:rPr>
        <w:t>elief, the non-audit services that we have provided to the parent company and to the group companies are in accordance with the applicable law and regulatio</w:t>
      </w:r>
      <w:r w:rsidR="00954FA1">
        <w:rPr>
          <w:lang w:val="en-US"/>
        </w:rPr>
        <w:t xml:space="preserve">ns in Finland and </w:t>
      </w:r>
      <w:r>
        <w:rPr>
          <w:lang w:val="en-US"/>
        </w:rPr>
        <w:t xml:space="preserve">we have not provided non-audit services that are prohibited under Article 5(1) of </w:t>
      </w:r>
      <w:r>
        <w:rPr>
          <w:lang w:val="en-US"/>
        </w:rPr>
        <w:t>Regulation (EU) No 537/2014</w:t>
      </w:r>
      <w:r w:rsidRPr="00CA5B67">
        <w:rPr>
          <w:lang w:val="en-US"/>
        </w:rPr>
        <w:t xml:space="preserve">. </w:t>
      </w:r>
      <w:r w:rsidRPr="008C0EDF" w:rsidR="008C0EDF">
        <w:rPr>
          <w:lang w:val="en-US"/>
        </w:rPr>
        <w:t xml:space="preserve">The non-audit services that we have provided </w:t>
      </w:r>
      <w:r w:rsidR="008C0EDF">
        <w:rPr>
          <w:lang w:val="en-US"/>
        </w:rPr>
        <w:t>are disclosed in n</w:t>
      </w:r>
      <w:r w:rsidRPr="008C0EDF" w:rsidR="008C0EDF">
        <w:rPr>
          <w:lang w:val="en-US"/>
        </w:rPr>
        <w:t>o</w:t>
      </w:r>
      <w:r w:rsidR="00606198">
        <w:rPr>
          <w:lang w:val="en-US"/>
        </w:rPr>
        <w:t xml:space="preserve">te </w:t>
      </w:r>
      <w:r w:rsidR="00D85C65">
        <w:rPr>
          <w:lang w:val="en-US"/>
        </w:rPr>
        <w:t>7.3</w:t>
      </w:r>
      <w:r w:rsidR="008C0EDF">
        <w:rPr>
          <w:lang w:val="en-US"/>
        </w:rPr>
        <w:t xml:space="preserve"> to the Financial Statements</w:t>
      </w:r>
      <w:r w:rsidRPr="008C0EDF">
        <w:rPr>
          <w:lang w:val="en-US"/>
        </w:rPr>
        <w:t>.</w:t>
      </w:r>
    </w:p>
    <w:p w:rsidR="009575E4" w:rsidRPr="008C0EDF" w:rsidP="009575E4" w14:paraId="68D03A11" w14:textId="77777777">
      <w:pPr>
        <w:pStyle w:val="BodyText"/>
        <w:spacing w:after="0" w:line="20" w:lineRule="exact"/>
        <w:rPr>
          <w:lang w:val="en-US"/>
        </w:rPr>
      </w:pPr>
      <w:r>
        <w:rPr>
          <w:lang w:val="en-US"/>
        </w:rPr>
        <w:br w:type="column"/>
      </w:r>
    </w:p>
    <w:p w:rsidR="00E06C4E" w:rsidRPr="00E06C4E" w:rsidP="00C943B0" w14:paraId="17507D6A" w14:textId="77777777">
      <w:pPr>
        <w:pStyle w:val="WAuditHeading2"/>
        <w:rPr>
          <w:lang w:val="fi-FI"/>
        </w:rPr>
      </w:pPr>
      <w:r>
        <w:rPr>
          <w:lang w:val="fi-FI"/>
        </w:rPr>
        <w:t>Our Audit A</w:t>
      </w:r>
      <w:r w:rsidRPr="00733019" w:rsidR="00733019">
        <w:rPr>
          <w:lang w:val="fi-FI"/>
        </w:rPr>
        <w:t>pproach</w:t>
      </w:r>
    </w:p>
    <w:p w:rsidR="00E06C4E" w:rsidRPr="00CA5B67" w:rsidP="00E06C4E" w14:paraId="05E7F9D1" w14:textId="77777777">
      <w:pPr>
        <w:pStyle w:val="Heading3"/>
        <w:rPr>
          <w:lang w:val="fi-FI"/>
        </w:rPr>
      </w:pPr>
      <w:r w:rsidRPr="00CA5B67">
        <w:rPr>
          <w:lang w:val="fi-FI"/>
        </w:rPr>
        <w:t>Overview</w:t>
      </w:r>
    </w:p>
    <w:tbl>
      <w:tblPr>
        <w:tblStyle w:val="PwCTableFigures"/>
        <w:tblW w:w="0" w:type="auto"/>
        <w:tblLook w:val="0680"/>
      </w:tblPr>
      <w:tblGrid>
        <w:gridCol w:w="2003"/>
        <w:gridCol w:w="5328"/>
      </w:tblGrid>
      <w:tr w14:paraId="490C7888" w14:textId="77777777" w:rsidTr="00DF501C">
        <w:tblPrEx>
          <w:tblW w:w="0" w:type="auto"/>
          <w:tblLook w:val="0680"/>
        </w:tblPrEx>
        <w:trPr>
          <w:trHeight w:val="892"/>
        </w:trPr>
        <w:tc>
          <w:tcPr>
            <w:tcW w:w="1844" w:type="dxa"/>
            <w:vMerge w:val="restart"/>
            <w:tcBorders>
              <w:top w:val="dotted" w:sz="4" w:space="0" w:color="DC6900"/>
              <w:bottom w:val="dotted" w:sz="4" w:space="0" w:color="44546A" w:themeColor="text2"/>
            </w:tcBorders>
          </w:tcPr>
          <w:p w:rsidR="00E06C4E" w:rsidRPr="00C30EF9" w:rsidP="00941951" w14:paraId="2F678425" w14:textId="77777777">
            <w:pPr>
              <w:pStyle w:val="TableBody"/>
            </w:pPr>
            <w:r>
              <w:rPr>
                <w:noProof/>
                <w:lang w:val="en-US" w:eastAsia="zh-CN"/>
              </w:rPr>
              <w:drawing>
                <wp:inline distT="0" distB="0" distL="0" distR="0">
                  <wp:extent cx="1135023" cy="2000250"/>
                  <wp:effectExtent l="0" t="0" r="0" b="0"/>
                  <wp:docPr id="472752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031429" name=""/>
                          <pic:cNvPicPr/>
                        </pic:nvPicPr>
                        <pic:blipFill>
                          <a:blip xmlns:r="http://schemas.openxmlformats.org/officeDocument/2006/relationships" r:embed="rId66"/>
                          <a:srcRect l="1260" r="4932"/>
                          <a:stretch>
                            <a:fillRect/>
                          </a:stretch>
                        </pic:blipFill>
                        <pic:spPr bwMode="auto">
                          <a:xfrm>
                            <a:off x="0" y="0"/>
                            <a:ext cx="1135789" cy="2001600"/>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inline>
              </w:drawing>
            </w:r>
          </w:p>
        </w:tc>
        <w:tc>
          <w:tcPr>
            <w:tcW w:w="8023" w:type="dxa"/>
            <w:tcBorders>
              <w:top w:val="dotted" w:sz="4" w:space="0" w:color="DC6900"/>
              <w:bottom w:val="dotted" w:sz="4" w:space="0" w:color="DC6900"/>
            </w:tcBorders>
          </w:tcPr>
          <w:p w:rsidR="00E06C4E" w:rsidRPr="002541FA" w:rsidP="002541FA" w14:paraId="31454247" w14:textId="77777777">
            <w:pPr>
              <w:pStyle w:val="TableBodyListBullet"/>
              <w:rPr>
                <w:lang w:val="en-US"/>
              </w:rPr>
            </w:pPr>
            <w:r>
              <w:rPr>
                <w:lang w:val="en-US"/>
              </w:rPr>
              <w:t>We have applied a</w:t>
            </w:r>
            <w:r w:rsidR="008D2B3D">
              <w:rPr>
                <w:lang w:val="en-US"/>
              </w:rPr>
              <w:t>n o</w:t>
            </w:r>
            <w:r w:rsidRPr="002541FA" w:rsidR="008D2B3D">
              <w:rPr>
                <w:lang w:val="en-US"/>
              </w:rPr>
              <w:t>verall group materiality</w:t>
            </w:r>
            <w:r w:rsidR="008D2B3D">
              <w:rPr>
                <w:lang w:val="en-US"/>
              </w:rPr>
              <w:t xml:space="preserve"> of</w:t>
            </w:r>
            <w:r w:rsidRPr="002541FA" w:rsidR="008D2B3D">
              <w:rPr>
                <w:lang w:val="en-US"/>
              </w:rPr>
              <w:t xml:space="preserve"> € </w:t>
            </w:r>
            <w:r w:rsidR="00890CF0">
              <w:rPr>
                <w:lang w:val="en-US"/>
              </w:rPr>
              <w:t>2</w:t>
            </w:r>
            <w:r w:rsidR="00B06093">
              <w:rPr>
                <w:lang w:val="en-US"/>
              </w:rPr>
              <w:t>0</w:t>
            </w:r>
            <w:r w:rsidR="008D2B3D">
              <w:rPr>
                <w:lang w:val="en-US"/>
              </w:rPr>
              <w:t xml:space="preserve"> million.</w:t>
            </w:r>
          </w:p>
        </w:tc>
      </w:tr>
      <w:tr w14:paraId="5AFBE445" w14:textId="77777777" w:rsidTr="00DF501C">
        <w:tblPrEx>
          <w:tblW w:w="0" w:type="auto"/>
          <w:tblLook w:val="0680"/>
        </w:tblPrEx>
        <w:trPr>
          <w:trHeight w:val="920"/>
        </w:trPr>
        <w:tc>
          <w:tcPr>
            <w:tcW w:w="1844" w:type="dxa"/>
            <w:vMerge/>
            <w:tcBorders>
              <w:top w:val="dotted" w:sz="4" w:space="0" w:color="44546A" w:themeColor="text2"/>
              <w:bottom w:val="single" w:sz="4" w:space="0" w:color="44546A" w:themeColor="text2"/>
            </w:tcBorders>
          </w:tcPr>
          <w:p w:rsidR="00E06C4E" w:rsidRPr="002541FA" w:rsidP="00941951" w14:paraId="7E78D1F8" w14:textId="77777777">
            <w:pPr>
              <w:pStyle w:val="TableBody"/>
              <w:rPr>
                <w:lang w:val="en-US"/>
              </w:rPr>
            </w:pPr>
          </w:p>
        </w:tc>
        <w:tc>
          <w:tcPr>
            <w:tcW w:w="8023" w:type="dxa"/>
            <w:tcBorders>
              <w:top w:val="dotted" w:sz="4" w:space="0" w:color="DC6900"/>
              <w:bottom w:val="single" w:sz="4" w:space="0" w:color="DC6900"/>
            </w:tcBorders>
          </w:tcPr>
          <w:p w:rsidR="00E06C4E" w:rsidRPr="008D2B3D" w:rsidP="002541FA" w14:paraId="7C1C0BC1" w14:textId="77777777">
            <w:pPr>
              <w:pStyle w:val="TableBodyListBullet"/>
              <w:rPr>
                <w:lang w:val="en-US"/>
              </w:rPr>
            </w:pPr>
            <w:r w:rsidRPr="004C798E">
              <w:rPr>
                <w:lang w:val="en-US"/>
              </w:rPr>
              <w:t xml:space="preserve">The group audit </w:t>
            </w:r>
            <w:r>
              <w:rPr>
                <w:lang w:val="en-US"/>
              </w:rPr>
              <w:t xml:space="preserve">scope </w:t>
            </w:r>
            <w:r w:rsidR="001918CC">
              <w:rPr>
                <w:lang w:val="en-US"/>
              </w:rPr>
              <w:t>included Wärtsilä Corporation</w:t>
            </w:r>
            <w:r>
              <w:rPr>
                <w:lang w:val="en-US"/>
              </w:rPr>
              <w:t xml:space="preserve"> parent</w:t>
            </w:r>
            <w:r w:rsidR="001918CC">
              <w:rPr>
                <w:lang w:val="en-US"/>
              </w:rPr>
              <w:t xml:space="preserve"> company</w:t>
            </w:r>
            <w:r>
              <w:rPr>
                <w:lang w:val="en-US"/>
              </w:rPr>
              <w:t xml:space="preserve"> and</w:t>
            </w:r>
            <w:r w:rsidRPr="004C798E">
              <w:rPr>
                <w:lang w:val="en-US"/>
              </w:rPr>
              <w:t xml:space="preserve"> all significant </w:t>
            </w:r>
            <w:r>
              <w:rPr>
                <w:lang w:val="en-US"/>
              </w:rPr>
              <w:t xml:space="preserve">operating </w:t>
            </w:r>
            <w:r w:rsidRPr="004C798E">
              <w:rPr>
                <w:lang w:val="en-US"/>
              </w:rPr>
              <w:t>companies, as well as a la</w:t>
            </w:r>
            <w:r>
              <w:rPr>
                <w:lang w:val="en-US"/>
              </w:rPr>
              <w:t>rge number of smaller companies</w:t>
            </w:r>
            <w:r w:rsidRPr="004C798E">
              <w:rPr>
                <w:lang w:val="en-US"/>
              </w:rPr>
              <w:t>, covering the vast majority of revenue</w:t>
            </w:r>
            <w:r>
              <w:rPr>
                <w:lang w:val="en-US"/>
              </w:rPr>
              <w:t>s</w:t>
            </w:r>
            <w:r w:rsidRPr="004C798E">
              <w:rPr>
                <w:lang w:val="en-US"/>
              </w:rPr>
              <w:t>, assets and liabilities.</w:t>
            </w:r>
          </w:p>
        </w:tc>
      </w:tr>
      <w:tr w14:paraId="0C897108" w14:textId="77777777" w:rsidTr="00DF501C">
        <w:tblPrEx>
          <w:tblW w:w="0" w:type="auto"/>
          <w:tblLook w:val="0680"/>
        </w:tblPrEx>
        <w:trPr>
          <w:trHeight w:val="920"/>
        </w:trPr>
        <w:tc>
          <w:tcPr>
            <w:tcW w:w="1844" w:type="dxa"/>
            <w:vMerge/>
            <w:tcBorders>
              <w:top w:val="dotted" w:sz="4" w:space="0" w:color="44546A" w:themeColor="text2"/>
              <w:bottom w:val="single" w:sz="4" w:space="0" w:color="DC6900"/>
            </w:tcBorders>
          </w:tcPr>
          <w:p w:rsidR="00E06C4E" w:rsidRPr="008D2B3D" w:rsidP="00941951" w14:paraId="0C712055" w14:textId="77777777">
            <w:pPr>
              <w:pStyle w:val="TableBody"/>
              <w:rPr>
                <w:lang w:val="en-US"/>
              </w:rPr>
            </w:pPr>
          </w:p>
        </w:tc>
        <w:tc>
          <w:tcPr>
            <w:tcW w:w="8023" w:type="dxa"/>
            <w:tcBorders>
              <w:top w:val="single" w:sz="4" w:space="0" w:color="DC6900"/>
              <w:bottom w:val="single" w:sz="4" w:space="0" w:color="DC6900"/>
            </w:tcBorders>
          </w:tcPr>
          <w:p w:rsidR="003C085D" w:rsidP="003C085D" w14:paraId="6AF21A9E" w14:textId="77777777">
            <w:pPr>
              <w:pStyle w:val="TableBodyListBullet"/>
              <w:rPr>
                <w:lang w:val="en-US"/>
              </w:rPr>
            </w:pPr>
            <w:r w:rsidRPr="001301FB">
              <w:rPr>
                <w:lang w:val="en-US"/>
              </w:rPr>
              <w:t>Revenue recognition</w:t>
            </w:r>
            <w:r>
              <w:rPr>
                <w:lang w:val="en-US"/>
              </w:rPr>
              <w:t xml:space="preserve"> of long-term contracts</w:t>
            </w:r>
          </w:p>
          <w:p w:rsidR="003C085D" w:rsidRPr="001301FB" w:rsidP="003C085D" w14:paraId="64F41303" w14:textId="77777777">
            <w:pPr>
              <w:pStyle w:val="TableBodyListBullet"/>
              <w:rPr>
                <w:lang w:val="en-US"/>
              </w:rPr>
            </w:pPr>
            <w:r>
              <w:rPr>
                <w:lang w:val="en-US"/>
              </w:rPr>
              <w:t>Valuation of goodwill</w:t>
            </w:r>
          </w:p>
          <w:p w:rsidR="00E06C4E" w:rsidRPr="00C30EF9" w:rsidP="0035296B" w14:paraId="028A3E6C" w14:textId="77777777">
            <w:pPr>
              <w:pStyle w:val="TableBodyListBullet"/>
            </w:pPr>
            <w:r>
              <w:rPr>
                <w:lang w:val="en-US"/>
              </w:rPr>
              <w:t>Valuation of trade receivables</w:t>
            </w:r>
          </w:p>
        </w:tc>
      </w:tr>
    </w:tbl>
    <w:p w:rsidR="00E06C4E" w:rsidRPr="00C30EF9" w:rsidP="00E06C4E" w14:paraId="0FC1F171" w14:textId="77777777">
      <w:pPr>
        <w:pStyle w:val="BodySingle"/>
      </w:pPr>
    </w:p>
    <w:p w:rsidR="00E06C4E" w:rsidRPr="002541FA" w:rsidP="00E06C4E" w14:paraId="1E5822A2" w14:textId="77777777">
      <w:pPr>
        <w:pStyle w:val="BodyText"/>
        <w:rPr>
          <w:lang w:val="en-US"/>
        </w:rPr>
      </w:pPr>
      <w:r w:rsidRPr="007C3125">
        <w:rPr>
          <w:lang w:val="en-US"/>
        </w:rPr>
        <w:t>As part of designing our audit, we determined materiality and assessed the risks of material misstatement in the financial statements.</w:t>
      </w:r>
      <w:r w:rsidRPr="002541FA" w:rsidR="002541FA">
        <w:rPr>
          <w:lang w:val="en-US"/>
        </w:rPr>
        <w:t xml:space="preserve"> In particular, we considered where management made subjective judgements; for example, in respect of significant accounting estimates that involved making assumptions and considering future events that are inherently uncertain.</w:t>
      </w:r>
    </w:p>
    <w:p w:rsidR="00E06C4E" w:rsidRPr="002541FA" w:rsidP="00C943B0" w14:paraId="363559FC" w14:textId="77777777">
      <w:pPr>
        <w:pStyle w:val="WAuditHeading3"/>
      </w:pPr>
      <w:r>
        <w:t>Materiality</w:t>
      </w:r>
    </w:p>
    <w:p w:rsidR="002541FA" w:rsidP="00E06C4E" w14:paraId="37C9F26D" w14:textId="77777777">
      <w:pPr>
        <w:pStyle w:val="BodyText"/>
        <w:rPr>
          <w:lang w:val="en-US"/>
        </w:rPr>
      </w:pPr>
      <w:r w:rsidRPr="002541FA">
        <w:rPr>
          <w:lang w:val="en-US"/>
        </w:rPr>
        <w:t>The scope of ou</w:t>
      </w:r>
      <w:r w:rsidRPr="002541FA">
        <w:rPr>
          <w:lang w:val="en-US"/>
        </w:rPr>
        <w:t xml:space="preserve">r audit was influenced by our application of materiality. An audit is designed to obtain reasonable assurance whether the financial statements are free from material misstatement. Misstatements may arise due to fraud or error. They are considered material </w:t>
      </w:r>
      <w:r w:rsidRPr="002541FA">
        <w:rPr>
          <w:lang w:val="en-US"/>
        </w:rPr>
        <w:t xml:space="preserve">if individually or in aggregate, they could reasonably be expected to influence the economic decisions of users taken on </w:t>
      </w:r>
      <w:r>
        <w:rPr>
          <w:lang w:val="en-US"/>
        </w:rPr>
        <w:t xml:space="preserve">the basis of the </w:t>
      </w:r>
      <w:r w:rsidRPr="002541FA">
        <w:rPr>
          <w:lang w:val="en-US"/>
        </w:rPr>
        <w:t>financial statements.</w:t>
      </w:r>
    </w:p>
    <w:p w:rsidR="00E06C4E" w:rsidP="00E06C4E" w14:paraId="59660189" w14:textId="77777777">
      <w:pPr>
        <w:pStyle w:val="BodyText"/>
        <w:rPr>
          <w:lang w:val="en-US"/>
        </w:rPr>
      </w:pPr>
      <w:r w:rsidRPr="002541FA">
        <w:rPr>
          <w:lang w:val="en-US"/>
        </w:rPr>
        <w:t>Based on our professional judgement, we determined certain quantitative thresholds for materiali</w:t>
      </w:r>
      <w:r w:rsidRPr="002541FA">
        <w:rPr>
          <w:lang w:val="en-US"/>
        </w:rPr>
        <w:t>ty, including the overall group materiality for the consolidated financial statements as set out in the table below. These, together with qualitative considerations, helped us to determine the scope of our audit and the nature, timing and extent of our aud</w:t>
      </w:r>
      <w:r w:rsidRPr="002541FA">
        <w:rPr>
          <w:lang w:val="en-US"/>
        </w:rPr>
        <w:t>it procedures and to evaluate the effect of misstatements on the financial statements as a whole.</w:t>
      </w:r>
    </w:p>
    <w:p w:rsidR="001918CC" w:rsidRPr="002541FA" w:rsidP="00E06C4E" w14:paraId="3955B89D" w14:textId="77777777">
      <w:pPr>
        <w:pStyle w:val="BodyText"/>
        <w:rPr>
          <w:lang w:val="en-US"/>
        </w:rPr>
      </w:pPr>
    </w:p>
    <w:tbl>
      <w:tblPr>
        <w:tblStyle w:val="PwCTableFigures"/>
        <w:tblW w:w="7573" w:type="dxa"/>
        <w:tblBorders>
          <w:top w:val="single" w:sz="4" w:space="0" w:color="DC6900"/>
          <w:bottom w:val="single" w:sz="4" w:space="0" w:color="DC6900"/>
        </w:tblBorders>
        <w:tblLook w:val="0680"/>
      </w:tblPr>
      <w:tblGrid>
        <w:gridCol w:w="3397"/>
        <w:gridCol w:w="4176"/>
      </w:tblGrid>
      <w:tr w14:paraId="547EC46D" w14:textId="77777777" w:rsidTr="00DF501C">
        <w:tblPrEx>
          <w:tblW w:w="7573" w:type="dxa"/>
          <w:tblBorders>
            <w:top w:val="single" w:sz="4" w:space="0" w:color="DC6900"/>
            <w:bottom w:val="single" w:sz="4" w:space="0" w:color="DC6900"/>
          </w:tblBorders>
          <w:tblLook w:val="0680"/>
        </w:tblPrEx>
        <w:trPr>
          <w:trHeight w:val="22"/>
        </w:trPr>
        <w:tc>
          <w:tcPr>
            <w:tcW w:w="3397" w:type="dxa"/>
            <w:tcBorders>
              <w:bottom w:val="dotted" w:sz="4" w:space="0" w:color="DC6900"/>
            </w:tcBorders>
          </w:tcPr>
          <w:p w:rsidR="00CF2E41" w:rsidRPr="00EE19C7" w:rsidP="00CF2E41" w14:paraId="289842B1" w14:textId="77777777">
            <w:pPr>
              <w:pStyle w:val="TableBody"/>
              <w:rPr>
                <w:b/>
                <w:i/>
                <w:color w:val="DC6900"/>
              </w:rPr>
            </w:pPr>
            <w:r w:rsidRPr="00EE19C7">
              <w:rPr>
                <w:b/>
                <w:i/>
                <w:color w:val="DC6900"/>
              </w:rPr>
              <w:t>Overall group materiality</w:t>
            </w:r>
          </w:p>
        </w:tc>
        <w:tc>
          <w:tcPr>
            <w:tcW w:w="4176" w:type="dxa"/>
            <w:tcBorders>
              <w:bottom w:val="dotted" w:sz="4" w:space="0" w:color="DC6900"/>
            </w:tcBorders>
          </w:tcPr>
          <w:p w:rsidR="00CF2E41" w:rsidRPr="00C30EF9" w:rsidP="00CF2E41" w14:paraId="74434A1A" w14:textId="77777777">
            <w:pPr>
              <w:pStyle w:val="TableBody"/>
            </w:pPr>
            <w:r w:rsidRPr="00C30EF9">
              <w:t xml:space="preserve">€ </w:t>
            </w:r>
            <w:r w:rsidR="00B73DA5">
              <w:t>2</w:t>
            </w:r>
            <w:r w:rsidR="00B06093">
              <w:t>0</w:t>
            </w:r>
            <w:r>
              <w:t xml:space="preserve"> million </w:t>
            </w:r>
            <w:r w:rsidR="00015942">
              <w:t>(prior year € 24 million)</w:t>
            </w:r>
          </w:p>
        </w:tc>
      </w:tr>
      <w:tr w14:paraId="50A1591F" w14:textId="77777777" w:rsidTr="00DF501C">
        <w:tblPrEx>
          <w:tblW w:w="7573" w:type="dxa"/>
          <w:tblLook w:val="0680"/>
        </w:tblPrEx>
        <w:tc>
          <w:tcPr>
            <w:tcW w:w="3397" w:type="dxa"/>
            <w:tcBorders>
              <w:top w:val="dotted" w:sz="4" w:space="0" w:color="DC6900"/>
              <w:bottom w:val="dotted" w:sz="4" w:space="0" w:color="DC6900"/>
            </w:tcBorders>
          </w:tcPr>
          <w:p w:rsidR="00CF2E41" w:rsidRPr="00EE19C7" w:rsidP="00CF2E41" w14:paraId="1E42628A" w14:textId="77777777">
            <w:pPr>
              <w:pStyle w:val="TableBody"/>
              <w:numPr>
                <w:ilvl w:val="0"/>
                <w:numId w:val="0"/>
              </w:numPr>
              <w:rPr>
                <w:b/>
                <w:i/>
                <w:color w:val="DC6900"/>
              </w:rPr>
            </w:pPr>
            <w:r w:rsidRPr="00EE19C7">
              <w:rPr>
                <w:b/>
                <w:i/>
                <w:color w:val="DC6900"/>
              </w:rPr>
              <w:t>How we determined it</w:t>
            </w:r>
          </w:p>
        </w:tc>
        <w:tc>
          <w:tcPr>
            <w:tcW w:w="4176" w:type="dxa"/>
            <w:tcBorders>
              <w:top w:val="dotted" w:sz="4" w:space="0" w:color="DC6900"/>
              <w:bottom w:val="dotted" w:sz="4" w:space="0" w:color="DC6900"/>
            </w:tcBorders>
          </w:tcPr>
          <w:p w:rsidR="00CF2E41" w:rsidRPr="0050038B" w:rsidP="00B107B3" w14:paraId="73CB12E9" w14:textId="77777777">
            <w:pPr>
              <w:pStyle w:val="TableBody"/>
            </w:pPr>
            <w:r>
              <w:t>5</w:t>
            </w:r>
            <w:r w:rsidR="001918CC">
              <w:t xml:space="preserve"> </w:t>
            </w:r>
            <w:r>
              <w:t>% of profit before tax</w:t>
            </w:r>
            <w:r w:rsidR="00BD0D18">
              <w:t xml:space="preserve"> </w:t>
            </w:r>
            <w:r w:rsidR="00127E1C">
              <w:t>(five-year average)</w:t>
            </w:r>
          </w:p>
        </w:tc>
      </w:tr>
      <w:tr w14:paraId="31738AB5" w14:textId="77777777" w:rsidTr="00DF501C">
        <w:tblPrEx>
          <w:tblW w:w="7573" w:type="dxa"/>
          <w:tblLook w:val="0680"/>
        </w:tblPrEx>
        <w:tc>
          <w:tcPr>
            <w:tcW w:w="3397" w:type="dxa"/>
            <w:tcBorders>
              <w:top w:val="dotted" w:sz="4" w:space="0" w:color="DC6900"/>
            </w:tcBorders>
          </w:tcPr>
          <w:p w:rsidR="00CF2E41" w:rsidRPr="00EE19C7" w:rsidP="00CF2E41" w14:paraId="58E4EA6E" w14:textId="77777777">
            <w:pPr>
              <w:pStyle w:val="TableBody"/>
              <w:rPr>
                <w:b/>
                <w:i/>
                <w:color w:val="DC6900"/>
              </w:rPr>
            </w:pPr>
            <w:r w:rsidRPr="00EE19C7">
              <w:rPr>
                <w:b/>
                <w:i/>
                <w:color w:val="DC6900"/>
              </w:rPr>
              <w:t>Rationale for the materiality benchmark applied</w:t>
            </w:r>
          </w:p>
        </w:tc>
        <w:tc>
          <w:tcPr>
            <w:tcW w:w="4176" w:type="dxa"/>
            <w:tcBorders>
              <w:top w:val="dotted" w:sz="4" w:space="0" w:color="DC6900"/>
            </w:tcBorders>
          </w:tcPr>
          <w:p w:rsidR="00CF2E41" w:rsidRPr="0050038B" w:rsidP="00890CF0" w14:paraId="61025494" w14:textId="77777777">
            <w:pPr>
              <w:pStyle w:val="TableBody"/>
            </w:pPr>
            <w:r w:rsidRPr="0035012E">
              <w:t>We chose profit before tax as the benchmark because, in our view, the performance of the Group is</w:t>
            </w:r>
            <w:r>
              <w:t xml:space="preserve"> most commonly measured by using this criteria</w:t>
            </w:r>
            <w:r w:rsidRPr="0035012E">
              <w:t xml:space="preserve">, and </w:t>
            </w:r>
            <w:r>
              <w:t xml:space="preserve">it </w:t>
            </w:r>
            <w:r w:rsidRPr="0035012E">
              <w:t xml:space="preserve">is </w:t>
            </w:r>
            <w:r>
              <w:t>a generally accepted benchmark.</w:t>
            </w:r>
            <w:r w:rsidR="00890CF0">
              <w:t xml:space="preserve"> </w:t>
            </w:r>
            <w:r w:rsidRPr="00890CF0" w:rsidR="00890CF0">
              <w:t>We chose 5</w:t>
            </w:r>
            <w:r w:rsidR="00890CF0">
              <w:t xml:space="preserve"> </w:t>
            </w:r>
            <w:r w:rsidRPr="00890CF0" w:rsidR="00890CF0">
              <w:t>% which is within the range of acceptable quantitative materiality thresholds in auditing standards.</w:t>
            </w:r>
          </w:p>
        </w:tc>
      </w:tr>
    </w:tbl>
    <w:p w:rsidR="00BC3E45" w:rsidRPr="00C30EF9" w:rsidP="00C943B0" w14:paraId="389D0C88" w14:textId="77777777">
      <w:pPr>
        <w:pStyle w:val="WAuditHeading3"/>
      </w:pPr>
      <w:r w:rsidRPr="003F31AC">
        <w:t>How we tailored our group audit scope</w:t>
      </w:r>
    </w:p>
    <w:p w:rsidR="00CF2E41" w:rsidRPr="00DF3141" w:rsidP="00CF2E41" w14:paraId="7BF6A1E2" w14:textId="77777777">
      <w:pPr>
        <w:pStyle w:val="BodyText"/>
        <w:rPr>
          <w:lang w:val="en-US"/>
        </w:rPr>
      </w:pPr>
      <w:r>
        <w:rPr>
          <w:lang w:val="en-US"/>
        </w:rPr>
        <w:t>The group audit scope was tailored to take into account the structure of the Group and the size, complexity and risk of indivi</w:t>
      </w:r>
      <w:r>
        <w:rPr>
          <w:lang w:val="en-US"/>
        </w:rPr>
        <w:t>dual subsidiaries. Using this criteria we selected companies and accounts into our audit scope and at the same time ensured that we get sufficient coverage to our audit, in order to issue an audit opinion for the Group.</w:t>
      </w:r>
    </w:p>
    <w:p w:rsidR="00E06C4E" w:rsidRPr="00DF3141" w:rsidP="00C943B0" w14:paraId="3FAD4B32" w14:textId="77777777">
      <w:pPr>
        <w:pStyle w:val="WAuditHeading2"/>
        <w:rPr>
          <w:lang w:val="en-US"/>
        </w:rPr>
      </w:pPr>
      <w:r>
        <w:rPr>
          <w:lang w:val="en-US"/>
        </w:rPr>
        <w:t>Key Audit M</w:t>
      </w:r>
      <w:r w:rsidRPr="00DF3141" w:rsidR="00DF3141">
        <w:rPr>
          <w:lang w:val="en-US"/>
        </w:rPr>
        <w:t>atters</w:t>
      </w:r>
      <w:r w:rsidRPr="00DF3141">
        <w:rPr>
          <w:lang w:val="en-US"/>
        </w:rPr>
        <w:t xml:space="preserve"> </w:t>
      </w:r>
    </w:p>
    <w:p w:rsidR="00E06C4E" w:rsidRPr="00DF3141" w:rsidP="00E06C4E" w14:paraId="762A8CCF" w14:textId="77777777">
      <w:pPr>
        <w:pStyle w:val="BodyText"/>
        <w:rPr>
          <w:lang w:val="en-US"/>
        </w:rPr>
      </w:pPr>
      <w:r w:rsidRPr="00DF3141">
        <w:rPr>
          <w:lang w:val="en-US"/>
        </w:rPr>
        <w:t xml:space="preserve">Key audit matters are those matters that, in our professional judgment, were of most significance in </w:t>
      </w:r>
      <w:r>
        <w:rPr>
          <w:lang w:val="en-US"/>
        </w:rPr>
        <w:t xml:space="preserve">our audit of the </w:t>
      </w:r>
      <w:r w:rsidRPr="00DF3141">
        <w:rPr>
          <w:lang w:val="en-US"/>
        </w:rPr>
        <w:t xml:space="preserve">financial statements of the current period. These matters were addressed in the context of </w:t>
      </w:r>
      <w:r>
        <w:rPr>
          <w:lang w:val="en-US"/>
        </w:rPr>
        <w:t xml:space="preserve">our audit of the </w:t>
      </w:r>
      <w:r w:rsidRPr="00DF3141">
        <w:rPr>
          <w:lang w:val="en-US"/>
        </w:rPr>
        <w:t xml:space="preserve">financial </w:t>
      </w:r>
      <w:r w:rsidRPr="00DF3141">
        <w:rPr>
          <w:lang w:val="en-US"/>
        </w:rPr>
        <w:t>statements as a whol</w:t>
      </w:r>
      <w:r w:rsidRPr="00DF3141">
        <w:rPr>
          <w:lang w:val="en-US"/>
        </w:rPr>
        <w:t>e, and in forming our opinion thereon, and we do not provide a separate opinion on these matters.</w:t>
      </w:r>
    </w:p>
    <w:p w:rsidR="00E06C4E" w:rsidRPr="008A3E2E" w:rsidP="00E06C4E" w14:paraId="5968E49F" w14:textId="77777777">
      <w:pPr>
        <w:pStyle w:val="BodyText"/>
        <w:rPr>
          <w:lang w:val="en-US"/>
        </w:rPr>
      </w:pPr>
      <w:r w:rsidRPr="00DF3141">
        <w:rPr>
          <w:lang w:val="en-US"/>
        </w:rPr>
        <w:t xml:space="preserve">As in all of our audits, we also addressed the risk of management override of internal controls, including among other matters consideration of whether there </w:t>
      </w:r>
      <w:r w:rsidRPr="00DF3141">
        <w:rPr>
          <w:lang w:val="en-US"/>
        </w:rPr>
        <w:t>was evidence of bias that represented a risk of material misstatement due to fraud.</w:t>
      </w:r>
    </w:p>
    <w:tbl>
      <w:tblPr>
        <w:tblStyle w:val="PwCTableFigures"/>
        <w:tblW w:w="7650" w:type="dxa"/>
        <w:tblLook w:val="04A0"/>
      </w:tblPr>
      <w:tblGrid>
        <w:gridCol w:w="3456"/>
        <w:gridCol w:w="4176"/>
        <w:gridCol w:w="18"/>
      </w:tblGrid>
      <w:tr w14:paraId="0B95671E" w14:textId="77777777" w:rsidTr="00DF501C">
        <w:tblPrEx>
          <w:tblW w:w="7650" w:type="dxa"/>
          <w:tblLook w:val="04A0"/>
        </w:tblPrEx>
        <w:trPr>
          <w:gridAfter w:val="1"/>
          <w:wAfter w:w="18" w:type="dxa"/>
        </w:trPr>
        <w:tc>
          <w:tcPr>
            <w:tcW w:w="3456" w:type="dxa"/>
            <w:tcBorders>
              <w:top w:val="nil"/>
              <w:bottom w:val="nil"/>
            </w:tcBorders>
            <w:shd w:val="clear" w:color="auto" w:fill="DC6900"/>
          </w:tcPr>
          <w:p w:rsidR="00E06C4E" w:rsidRPr="003F31AC" w:rsidP="003F31AC" w14:paraId="281798AE" w14:textId="77777777">
            <w:pPr>
              <w:pStyle w:val="TableBody"/>
              <w:rPr>
                <w:lang w:val="en-US"/>
              </w:rPr>
            </w:pPr>
            <w:r w:rsidRPr="003F31AC">
              <w:rPr>
                <w:color w:val="E7E6E6" w:themeColor="background2"/>
                <w:lang w:val="en-US"/>
              </w:rPr>
              <w:t>Key audit matter</w:t>
            </w:r>
            <w:r w:rsidR="003F31AC">
              <w:t xml:space="preserve"> </w:t>
            </w:r>
            <w:r w:rsidR="0020386F">
              <w:rPr>
                <w:color w:val="E7E6E6" w:themeColor="background2"/>
                <w:lang w:val="en-US"/>
              </w:rPr>
              <w:t>in the audit of the g</w:t>
            </w:r>
            <w:r w:rsidRPr="003F31AC" w:rsidR="003F31AC">
              <w:rPr>
                <w:color w:val="E7E6E6" w:themeColor="background2"/>
                <w:lang w:val="en-US"/>
              </w:rPr>
              <w:t>roup</w:t>
            </w:r>
          </w:p>
        </w:tc>
        <w:tc>
          <w:tcPr>
            <w:tcW w:w="4176" w:type="dxa"/>
            <w:tcBorders>
              <w:top w:val="nil"/>
              <w:bottom w:val="nil"/>
            </w:tcBorders>
            <w:shd w:val="clear" w:color="auto" w:fill="DC6900"/>
          </w:tcPr>
          <w:p w:rsidR="00E06C4E" w:rsidRPr="008A3E2E" w:rsidP="00DF3141" w14:paraId="2C491AC9" w14:textId="77777777">
            <w:pPr>
              <w:pStyle w:val="TableBody"/>
              <w:rPr>
                <w:lang w:val="en-US"/>
              </w:rPr>
            </w:pPr>
            <w:r>
              <w:rPr>
                <w:color w:val="E7E6E6" w:themeColor="background2"/>
                <w:lang w:val="en-US"/>
              </w:rPr>
              <w:t>How our audit addressed the k</w:t>
            </w:r>
            <w:r w:rsidRPr="008A3E2E" w:rsidR="00DF3141">
              <w:rPr>
                <w:color w:val="E7E6E6" w:themeColor="background2"/>
                <w:lang w:val="en-US"/>
              </w:rPr>
              <w:t>ey audit matter</w:t>
            </w:r>
          </w:p>
        </w:tc>
      </w:tr>
      <w:tr w14:paraId="2B32F9EC" w14:textId="77777777" w:rsidTr="00DF501C">
        <w:tblPrEx>
          <w:tblW w:w="7650" w:type="dxa"/>
          <w:tblLook w:val="04A0"/>
        </w:tblPrEx>
        <w:trPr>
          <w:gridAfter w:val="1"/>
          <w:wAfter w:w="18" w:type="dxa"/>
        </w:trPr>
        <w:tc>
          <w:tcPr>
            <w:tcW w:w="3456" w:type="dxa"/>
            <w:tcBorders>
              <w:top w:val="nil"/>
              <w:bottom w:val="dotted" w:sz="4" w:space="0" w:color="DC6900"/>
            </w:tcBorders>
          </w:tcPr>
          <w:p w:rsidR="00752C86" w:rsidRPr="00EE19C7" w:rsidP="00752C86" w14:paraId="7DA1920E" w14:textId="77777777">
            <w:pPr>
              <w:pStyle w:val="TableBody"/>
              <w:rPr>
                <w:i/>
                <w:color w:val="DC6900"/>
              </w:rPr>
            </w:pPr>
            <w:r w:rsidRPr="00EE19C7">
              <w:rPr>
                <w:i/>
                <w:color w:val="DC6900"/>
              </w:rPr>
              <w:t>Revenue recognition of long-term contracts</w:t>
            </w:r>
          </w:p>
          <w:p w:rsidR="00752C86" w:rsidRPr="00752C86" w:rsidP="00752C86" w14:paraId="3A6D3113" w14:textId="77777777">
            <w:pPr>
              <w:pStyle w:val="TableBody"/>
              <w:rPr>
                <w:i/>
              </w:rPr>
            </w:pPr>
            <w:r w:rsidRPr="00752C86">
              <w:rPr>
                <w:i/>
              </w:rPr>
              <w:t xml:space="preserve">Refer to the consolidated </w:t>
            </w:r>
            <w:r w:rsidRPr="00752C86">
              <w:rPr>
                <w:i/>
              </w:rPr>
              <w:t>financial statements note</w:t>
            </w:r>
            <w:r w:rsidR="00D85C65">
              <w:rPr>
                <w:i/>
              </w:rPr>
              <w:t xml:space="preserve"> 2.2</w:t>
            </w:r>
            <w:r w:rsidRPr="00752C86">
              <w:rPr>
                <w:i/>
              </w:rPr>
              <w:t>.</w:t>
            </w:r>
          </w:p>
          <w:p w:rsidR="00752C86" w:rsidP="00C943B0" w14:paraId="0A0087D6" w14:textId="77777777">
            <w:pPr>
              <w:pStyle w:val="TableBody"/>
            </w:pPr>
            <w:r>
              <w:t xml:space="preserve">The group has significant revenue from construction contracts and long-term operating and maintenance agreements. These long-term contracts are often complex customised solutions and meet the definition </w:t>
            </w:r>
            <w:r w:rsidR="0069761C">
              <w:t>for revenue recognition over time in accordance with IFRS 15.</w:t>
            </w:r>
          </w:p>
          <w:p w:rsidR="00752C86" w:rsidP="00C943B0" w14:paraId="5167DFBA" w14:textId="77777777">
            <w:pPr>
              <w:pStyle w:val="TableBody"/>
            </w:pPr>
            <w:r>
              <w:t>Revenue related to these construction contracts</w:t>
            </w:r>
            <w:r w:rsidR="0069761C">
              <w:t xml:space="preserve"> and long-term operating and maintenance agreements</w:t>
            </w:r>
            <w:r>
              <w:t xml:space="preserve"> is recognised using the percentage of completion method, where progress is determined by comparing actual costs incur</w:t>
            </w:r>
            <w:r>
              <w:t>red to date, with the total estimated costs of the project.</w:t>
            </w:r>
            <w:r w:rsidRPr="00B907F5">
              <w:t xml:space="preserve">  </w:t>
            </w:r>
            <w:r>
              <w:t>Revenue recogn</w:t>
            </w:r>
            <w:r w:rsidR="0069761C">
              <w:t>ition for long-term contracts</w:t>
            </w:r>
            <w:r>
              <w:t xml:space="preserve"> includes </w:t>
            </w:r>
            <w:r>
              <w:t>management judgment in a form of estimates, which are subject to management experience and expectations of future events. The most important j</w:t>
            </w:r>
            <w:r>
              <w:t>udgment relates to the estimated total costs of the project</w:t>
            </w:r>
            <w:r w:rsidR="00B87E0F">
              <w:t>.</w:t>
            </w:r>
          </w:p>
          <w:p w:rsidR="00122583" w:rsidRPr="006C30E9" w:rsidP="006C30E9" w14:paraId="18FECB3F" w14:textId="77777777">
            <w:pPr>
              <w:pStyle w:val="TableBody"/>
              <w:rPr>
                <w:color w:val="FF0000"/>
              </w:rPr>
            </w:pPr>
            <w:r>
              <w:t xml:space="preserve">Revenue recognition of long-term contracts is a </w:t>
            </w:r>
            <w:r w:rsidR="006C30E9">
              <w:t>key audit matter</w:t>
            </w:r>
            <w:r>
              <w:t xml:space="preserve"> in the audit due to the high level of management judgement involved in the project estimates.</w:t>
            </w:r>
          </w:p>
          <w:p w:rsidR="00122583" w:rsidRPr="002872FC" w:rsidP="00122583" w14:paraId="01C80037" w14:textId="77777777">
            <w:pPr>
              <w:pStyle w:val="TableBody"/>
              <w:numPr>
                <w:ilvl w:val="0"/>
                <w:numId w:val="0"/>
              </w:numPr>
              <w:rPr>
                <w:color w:val="FF0000"/>
              </w:rPr>
            </w:pPr>
          </w:p>
        </w:tc>
        <w:tc>
          <w:tcPr>
            <w:tcW w:w="4176" w:type="dxa"/>
            <w:tcBorders>
              <w:top w:val="nil"/>
              <w:bottom w:val="dotted" w:sz="4" w:space="0" w:color="DC6900"/>
            </w:tcBorders>
          </w:tcPr>
          <w:p w:rsidR="00E06C4E" w:rsidRPr="002872FC" w:rsidP="00941951" w14:paraId="70BCE6AA" w14:textId="77777777">
            <w:pPr>
              <w:pStyle w:val="TableBody"/>
            </w:pPr>
          </w:p>
          <w:p w:rsidR="00876964" w:rsidRPr="00876964" w:rsidP="00D13DCB" w14:paraId="19E9F9CE" w14:textId="77777777">
            <w:pPr>
              <w:pStyle w:val="TableBody"/>
            </w:pPr>
            <w:r w:rsidRPr="00876964">
              <w:t xml:space="preserve">Our revenue testing included both testing of the company’s controls, as well as substantive audit procedures targeted at selected major </w:t>
            </w:r>
            <w:r w:rsidRPr="00876964" w:rsidR="00CC7946">
              <w:t xml:space="preserve">long-term </w:t>
            </w:r>
            <w:r w:rsidRPr="00876964">
              <w:t xml:space="preserve">projects. Our substantive testing focused on estimates applied by management in the accounting. </w:t>
            </w:r>
          </w:p>
          <w:p w:rsidR="00FB3324" w:rsidRPr="00876964" w:rsidP="00D13DCB" w14:paraId="4021098F" w14:textId="77777777">
            <w:pPr>
              <w:pStyle w:val="TableBody"/>
            </w:pPr>
            <w:r w:rsidRPr="00876964">
              <w:t>Our procedure</w:t>
            </w:r>
            <w:r w:rsidRPr="00876964">
              <w:t>s included, among others things, the following:</w:t>
            </w:r>
          </w:p>
          <w:p w:rsidR="00FB3324" w:rsidRPr="00397C74" w:rsidP="00397C74" w14:paraId="4E7895DB" w14:textId="77777777">
            <w:pPr>
              <w:pStyle w:val="TableBody"/>
              <w:numPr>
                <w:ilvl w:val="0"/>
                <w:numId w:val="7"/>
              </w:numPr>
            </w:pPr>
            <w:r w:rsidRPr="00397C74">
              <w:t>Ensured that the revenue recognition method applied was appropriate based on the terms of the arrangement;</w:t>
            </w:r>
          </w:p>
          <w:p w:rsidR="00FB3324" w:rsidRPr="00397C74" w:rsidP="00397C74" w14:paraId="0319C369" w14:textId="77777777">
            <w:pPr>
              <w:pStyle w:val="TableBody"/>
              <w:numPr>
                <w:ilvl w:val="0"/>
                <w:numId w:val="7"/>
              </w:numPr>
            </w:pPr>
            <w:r w:rsidRPr="00397C74">
              <w:t>Agreed the total project revenue estimates to sales agreements, including amendments as appropriate;</w:t>
            </w:r>
          </w:p>
          <w:p w:rsidR="00876964" w:rsidP="00397C74" w14:paraId="0E6A4640" w14:textId="77777777">
            <w:pPr>
              <w:pStyle w:val="TableBody"/>
              <w:numPr>
                <w:ilvl w:val="0"/>
                <w:numId w:val="7"/>
              </w:numPr>
            </w:pPr>
            <w:r>
              <w:t xml:space="preserve">We </w:t>
            </w:r>
            <w:r w:rsidR="00EE4A7E">
              <w:t xml:space="preserve">obtained an </w:t>
            </w:r>
            <w:r>
              <w:t xml:space="preserve">understanding of the processes and tested </w:t>
            </w:r>
            <w:r w:rsidR="00EE4A7E">
              <w:t xml:space="preserve">relevant </w:t>
            </w:r>
            <w:r>
              <w:t xml:space="preserve">controls, </w:t>
            </w:r>
            <w:r w:rsidR="00EE4A7E">
              <w:t xml:space="preserve">which </w:t>
            </w:r>
            <w:r>
              <w:t xml:space="preserve">impact </w:t>
            </w:r>
            <w:r w:rsidR="00EE4A7E">
              <w:t xml:space="preserve">the </w:t>
            </w:r>
            <w:r>
              <w:t>revenue recognition;</w:t>
            </w:r>
          </w:p>
          <w:p w:rsidR="00876964" w:rsidP="00397C74" w14:paraId="1E15B416" w14:textId="77777777">
            <w:pPr>
              <w:pStyle w:val="TableBody"/>
              <w:numPr>
                <w:ilvl w:val="0"/>
                <w:numId w:val="7"/>
              </w:numPr>
            </w:pPr>
            <w:r>
              <w:t xml:space="preserve">We assessed the reliability of </w:t>
            </w:r>
            <w:r w:rsidR="00CD1092">
              <w:t>management’s estimates by comparing the actual results of delivered projects to previous estimates;</w:t>
            </w:r>
          </w:p>
          <w:p w:rsidR="00FB3324" w:rsidRPr="00397C74" w:rsidP="00CD1092" w14:paraId="41AA6843" w14:textId="77777777">
            <w:pPr>
              <w:pStyle w:val="TableBody"/>
              <w:numPr>
                <w:ilvl w:val="0"/>
                <w:numId w:val="7"/>
              </w:numPr>
            </w:pPr>
            <w:r>
              <w:t>We challeng</w:t>
            </w:r>
            <w:r>
              <w:t>ed the management estimates and assumptions in projects, which were considered to include specific risk factors; and</w:t>
            </w:r>
          </w:p>
          <w:p w:rsidR="00E06C4E" w:rsidRPr="002E582C" w:rsidP="002E582C" w14:paraId="416EBBFD" w14:textId="77777777">
            <w:pPr>
              <w:pStyle w:val="TableBody"/>
              <w:numPr>
                <w:ilvl w:val="0"/>
                <w:numId w:val="7"/>
              </w:numPr>
              <w:rPr>
                <w:lang w:val="en-US"/>
              </w:rPr>
            </w:pPr>
            <w:r w:rsidRPr="00397C74">
              <w:t>Recalculated the</w:t>
            </w:r>
            <w:r w:rsidR="00EE4A7E">
              <w:t xml:space="preserve"> revenue </w:t>
            </w:r>
            <w:r w:rsidR="00DB2E9E">
              <w:t xml:space="preserve">based on the </w:t>
            </w:r>
            <w:r w:rsidR="00EE4A7E">
              <w:t>stage of completion</w:t>
            </w:r>
            <w:r w:rsidR="00DB2E9E">
              <w:t xml:space="preserve"> of the projects</w:t>
            </w:r>
            <w:r w:rsidR="006F674D">
              <w:t>.</w:t>
            </w:r>
            <w:r w:rsidRPr="00397C74">
              <w:t xml:space="preserve"> </w:t>
            </w:r>
            <w:r w:rsidR="00DB2E9E">
              <w:t xml:space="preserve">Ensured that the stage of completion is correct by </w:t>
            </w:r>
            <w:r w:rsidRPr="00397C74">
              <w:t>comparing act</w:t>
            </w:r>
            <w:r w:rsidRPr="00397C74">
              <w:t>ual costs per the company’s accounting records to the estimated total costs of the projects.</w:t>
            </w:r>
          </w:p>
          <w:p w:rsidR="002E582C" w:rsidRPr="00CA5894" w:rsidP="002E582C" w14:paraId="502EB718" w14:textId="77777777">
            <w:pPr>
              <w:pStyle w:val="TableBody"/>
              <w:numPr>
                <w:ilvl w:val="0"/>
                <w:numId w:val="0"/>
              </w:numPr>
              <w:ind w:left="360"/>
              <w:rPr>
                <w:lang w:val="en-US"/>
              </w:rPr>
            </w:pPr>
          </w:p>
        </w:tc>
      </w:tr>
      <w:tr w14:paraId="23EC2C4B" w14:textId="77777777" w:rsidTr="00DF501C">
        <w:tblPrEx>
          <w:tblW w:w="7650" w:type="dxa"/>
          <w:tblLook w:val="04A0"/>
        </w:tblPrEx>
        <w:trPr>
          <w:gridAfter w:val="1"/>
          <w:wAfter w:w="18" w:type="dxa"/>
        </w:trPr>
        <w:tc>
          <w:tcPr>
            <w:tcW w:w="3456" w:type="dxa"/>
            <w:tcBorders>
              <w:top w:val="dotted" w:sz="4" w:space="0" w:color="DC6900"/>
              <w:bottom w:val="dotted" w:sz="4" w:space="0" w:color="DC6900"/>
            </w:tcBorders>
          </w:tcPr>
          <w:p w:rsidR="00397C74" w:rsidRPr="00EE19C7" w:rsidP="00397C74" w14:paraId="5DAAA348" w14:textId="77777777">
            <w:pPr>
              <w:pStyle w:val="TableBody"/>
              <w:rPr>
                <w:i/>
                <w:color w:val="DC6900"/>
              </w:rPr>
            </w:pPr>
            <w:r w:rsidRPr="00EE19C7">
              <w:rPr>
                <w:i/>
                <w:color w:val="DC6900"/>
              </w:rPr>
              <w:t>Valuation of goodwill</w:t>
            </w:r>
          </w:p>
          <w:p w:rsidR="00397C74" w:rsidRPr="000A1334" w:rsidP="00397C74" w14:paraId="7646E51C" w14:textId="77777777">
            <w:pPr>
              <w:pStyle w:val="TableBody"/>
              <w:rPr>
                <w:i/>
              </w:rPr>
            </w:pPr>
            <w:r>
              <w:rPr>
                <w:i/>
              </w:rPr>
              <w:t>Refer to the consolidated financial statements note</w:t>
            </w:r>
            <w:r w:rsidR="002E582C">
              <w:rPr>
                <w:i/>
              </w:rPr>
              <w:t xml:space="preserve"> </w:t>
            </w:r>
            <w:r w:rsidR="00D85C65">
              <w:rPr>
                <w:i/>
              </w:rPr>
              <w:t>3.1</w:t>
            </w:r>
            <w:r>
              <w:rPr>
                <w:i/>
              </w:rPr>
              <w:t>.</w:t>
            </w:r>
          </w:p>
          <w:p w:rsidR="002C09EF" w:rsidP="0030165A" w14:paraId="18D048DA" w14:textId="77777777">
            <w:pPr>
              <w:pStyle w:val="TableBody"/>
            </w:pPr>
            <w:r>
              <w:t>Goodwill is on</w:t>
            </w:r>
            <w:r w:rsidR="00150451">
              <w:t>e</w:t>
            </w:r>
            <w:r>
              <w:t xml:space="preserve"> of the most significant balance sheet items and amounts to </w:t>
            </w:r>
            <w:r w:rsidRPr="00921DAE">
              <w:t>€ 1</w:t>
            </w:r>
            <w:r w:rsidRPr="00921DAE" w:rsidR="008F2BF9">
              <w:t xml:space="preserve"> </w:t>
            </w:r>
            <w:r w:rsidR="002E582C">
              <w:t>3</w:t>
            </w:r>
            <w:r w:rsidR="00B06093">
              <w:t>25</w:t>
            </w:r>
            <w:r>
              <w:t xml:space="preserve"> million.</w:t>
            </w:r>
            <w:r w:rsidR="0030165A">
              <w:t xml:space="preserve"> </w:t>
            </w:r>
            <w:r w:rsidRPr="0030165A" w:rsidR="0030165A">
              <w:t>The determination and whether an impairment charge is required involves significant management judgement, including identifying on which cash generating unit level the goodwill is tested and estimating the future performance of the business and the discount rate applied to these future cash flows</w:t>
            </w:r>
            <w:r w:rsidR="0030165A">
              <w:t>.</w:t>
            </w:r>
            <w:r>
              <w:t xml:space="preserve"> </w:t>
            </w:r>
          </w:p>
          <w:p w:rsidR="007A5663" w:rsidRPr="002872FC" w:rsidP="006C30E9" w14:paraId="09879968" w14:textId="77777777">
            <w:pPr>
              <w:pStyle w:val="TableBody"/>
            </w:pPr>
            <w:r>
              <w:t xml:space="preserve">Valuation of goodwill is a </w:t>
            </w:r>
            <w:r w:rsidR="006C30E9">
              <w:t>key audit matter</w:t>
            </w:r>
            <w:r>
              <w:t xml:space="preserve"> in the audit due to the size of the goodwill balance and the high </w:t>
            </w:r>
            <w:r>
              <w:t>level of management judge</w:t>
            </w:r>
            <w:r>
              <w:t>ment involved.</w:t>
            </w:r>
          </w:p>
        </w:tc>
        <w:tc>
          <w:tcPr>
            <w:tcW w:w="4176" w:type="dxa"/>
            <w:tcBorders>
              <w:top w:val="dotted" w:sz="4" w:space="0" w:color="DC6900"/>
              <w:bottom w:val="dotted" w:sz="4" w:space="0" w:color="DC6900"/>
            </w:tcBorders>
          </w:tcPr>
          <w:p w:rsidR="00397C74" w:rsidRPr="00827D45" w:rsidP="00397C74" w14:paraId="3214E5D3" w14:textId="77777777">
            <w:pPr>
              <w:pStyle w:val="TableBody"/>
            </w:pPr>
            <w:r>
              <w:t xml:space="preserve">Our audit focused on </w:t>
            </w:r>
            <w:r w:rsidR="006E2AD9">
              <w:t xml:space="preserve">assessing the reasonableness of the determination of cash generating units, which forms the basis for the goodwill impairment testing and </w:t>
            </w:r>
            <w:r>
              <w:t xml:space="preserve">assessing the appropriateness </w:t>
            </w:r>
            <w:r w:rsidR="006E2AD9">
              <w:t>of management’s</w:t>
            </w:r>
            <w:r>
              <w:t xml:space="preserve"> judgments and estimates used in the </w:t>
            </w:r>
            <w:r>
              <w:t>goodwill impairment analysis</w:t>
            </w:r>
            <w:r w:rsidR="006E2AD9">
              <w:t>. Our procedures</w:t>
            </w:r>
            <w:r w:rsidR="00D27C4E">
              <w:t xml:space="preserve"> relating to the impairment analysis</w:t>
            </w:r>
            <w:r w:rsidR="006E2AD9">
              <w:t xml:space="preserve"> included the following</w:t>
            </w:r>
            <w:r>
              <w:t>:</w:t>
            </w:r>
          </w:p>
          <w:p w:rsidR="00397C74" w:rsidP="00397C74" w14:paraId="66C1AE96" w14:textId="77777777">
            <w:pPr>
              <w:pStyle w:val="TableBody"/>
              <w:numPr>
                <w:ilvl w:val="0"/>
                <w:numId w:val="7"/>
              </w:numPr>
            </w:pPr>
            <w:r w:rsidRPr="00827D45">
              <w:t>We tested the methodology applied in the</w:t>
            </w:r>
            <w:r w:rsidR="006E2AD9">
              <w:t xml:space="preserve"> goodwill impairment</w:t>
            </w:r>
            <w:r w:rsidRPr="00827D45">
              <w:t xml:space="preserve"> </w:t>
            </w:r>
            <w:r w:rsidR="006E2AD9">
              <w:t xml:space="preserve">analysis </w:t>
            </w:r>
            <w:r w:rsidRPr="00827D45">
              <w:t>as compared</w:t>
            </w:r>
            <w:r>
              <w:t xml:space="preserve"> </w:t>
            </w:r>
            <w:r w:rsidRPr="00827D45">
              <w:t xml:space="preserve">to the requirements </w:t>
            </w:r>
            <w:r w:rsidR="006E2AD9">
              <w:t>of IAS 36, Impairment of Assets;</w:t>
            </w:r>
          </w:p>
          <w:p w:rsidR="00397C74" w:rsidRPr="00827D45" w:rsidP="00397C74" w14:paraId="2F538FA7" w14:textId="77777777">
            <w:pPr>
              <w:pStyle w:val="TableBody"/>
              <w:numPr>
                <w:ilvl w:val="0"/>
                <w:numId w:val="7"/>
              </w:numPr>
            </w:pPr>
            <w:r>
              <w:t>We evaluated the</w:t>
            </w:r>
            <w:r>
              <w:t xml:space="preserve"> process by which the future cash flow for</w:t>
            </w:r>
            <w:r w:rsidRPr="00EB6132">
              <w:t xml:space="preserve">ecasts were drawn up, including comparing them to the latest Board </w:t>
            </w:r>
            <w:r>
              <w:t>approved targets and long term plans;</w:t>
            </w:r>
          </w:p>
          <w:p w:rsidR="00397C74" w:rsidP="00397C74" w14:paraId="33BAC75F" w14:textId="77777777">
            <w:pPr>
              <w:pStyle w:val="TableBody"/>
              <w:numPr>
                <w:ilvl w:val="0"/>
                <w:numId w:val="7"/>
              </w:numPr>
            </w:pPr>
            <w:r w:rsidRPr="00827D45">
              <w:t>W</w:t>
            </w:r>
            <w:r>
              <w:t>e tested the</w:t>
            </w:r>
            <w:r w:rsidRPr="00827D45">
              <w:t xml:space="preserve"> key</w:t>
            </w:r>
            <w:r>
              <w:t xml:space="preserve"> </w:t>
            </w:r>
            <w:r w:rsidRPr="00827D45">
              <w:t>und</w:t>
            </w:r>
            <w:r>
              <w:t>erlying assumptions for the cash flow forecasts, including sales and profitability</w:t>
            </w:r>
            <w:r w:rsidRPr="00827D45">
              <w:t xml:space="preserve"> </w:t>
            </w:r>
            <w:r>
              <w:t>forec</w:t>
            </w:r>
            <w:r>
              <w:t xml:space="preserve">asts, discount rate used </w:t>
            </w:r>
            <w:r w:rsidRPr="00827D45">
              <w:t xml:space="preserve">and the </w:t>
            </w:r>
            <w:r>
              <w:t>implied growth rates beyond the forecasted period;</w:t>
            </w:r>
          </w:p>
          <w:p w:rsidR="00397C74" w:rsidP="00397C74" w14:paraId="1F7F48DA" w14:textId="77777777">
            <w:pPr>
              <w:pStyle w:val="TableBody"/>
              <w:numPr>
                <w:ilvl w:val="0"/>
                <w:numId w:val="7"/>
              </w:numPr>
            </w:pPr>
            <w:r>
              <w:t>We compared the current year actual results included in the prior year impairment model to consider whether forecasts included assumptions that, with hindsight, had been op</w:t>
            </w:r>
            <w:r>
              <w:t>timistic;</w:t>
            </w:r>
            <w:r w:rsidR="000D0C5E">
              <w:t xml:space="preserve"> and</w:t>
            </w:r>
          </w:p>
          <w:p w:rsidR="00E06C4E" w:rsidRPr="000D0C5E" w:rsidP="000D0C5E" w14:paraId="711A95A7" w14:textId="77777777">
            <w:pPr>
              <w:pStyle w:val="TableBody"/>
              <w:numPr>
                <w:ilvl w:val="0"/>
                <w:numId w:val="7"/>
              </w:numPr>
            </w:pPr>
            <w:r>
              <w:t>We considered whether the sensitivity analysis performed by the management around key assumptions of the cash flow forecast was appropriate by considering the likelihood of the movemen</w:t>
            </w:r>
            <w:r w:rsidR="000D0C5E">
              <w:t>ts of these key assumptions.</w:t>
            </w:r>
          </w:p>
        </w:tc>
      </w:tr>
      <w:tr w14:paraId="1062B7E4" w14:textId="77777777" w:rsidTr="00DF501C">
        <w:tblPrEx>
          <w:tblW w:w="7650" w:type="dxa"/>
          <w:tblLook w:val="04A0"/>
        </w:tblPrEx>
        <w:trPr>
          <w:gridAfter w:val="1"/>
          <w:wAfter w:w="18" w:type="dxa"/>
        </w:trPr>
        <w:tc>
          <w:tcPr>
            <w:tcW w:w="3456" w:type="dxa"/>
            <w:tcBorders>
              <w:top w:val="dotted" w:sz="4" w:space="0" w:color="DC6900"/>
              <w:bottom w:val="nil"/>
            </w:tcBorders>
          </w:tcPr>
          <w:p w:rsidR="00094001" w:rsidRPr="00EE19C7" w:rsidP="00094001" w14:paraId="366C0034" w14:textId="77777777">
            <w:pPr>
              <w:pStyle w:val="TableBody"/>
              <w:rPr>
                <w:i/>
                <w:color w:val="DC6900"/>
              </w:rPr>
            </w:pPr>
            <w:r w:rsidRPr="00EE19C7">
              <w:rPr>
                <w:i/>
                <w:color w:val="DC6900"/>
              </w:rPr>
              <w:t>Valuation of trade receivables</w:t>
            </w:r>
          </w:p>
          <w:p w:rsidR="00094001" w:rsidRPr="0059376E" w:rsidP="0059376E" w14:paraId="6850A541" w14:textId="77777777">
            <w:pPr>
              <w:pStyle w:val="TableBody"/>
              <w:rPr>
                <w:i/>
                <w:iCs/>
              </w:rPr>
            </w:pPr>
            <w:r w:rsidRPr="0059376E">
              <w:rPr>
                <w:i/>
                <w:iCs/>
              </w:rPr>
              <w:t xml:space="preserve">Refer to </w:t>
            </w:r>
            <w:r w:rsidRPr="0059376E">
              <w:rPr>
                <w:i/>
                <w:iCs/>
              </w:rPr>
              <w:t xml:space="preserve">the consolidated financial statements </w:t>
            </w:r>
            <w:r w:rsidRPr="0059376E">
              <w:rPr>
                <w:i/>
                <w:iCs/>
              </w:rPr>
              <w:t>note</w:t>
            </w:r>
            <w:r w:rsidRPr="0059376E" w:rsidR="00D85C65">
              <w:rPr>
                <w:i/>
                <w:iCs/>
              </w:rPr>
              <w:t xml:space="preserve"> 4.2</w:t>
            </w:r>
            <w:r w:rsidRPr="0059376E">
              <w:rPr>
                <w:i/>
                <w:iCs/>
              </w:rPr>
              <w:t>.</w:t>
            </w:r>
          </w:p>
          <w:p w:rsidR="00AA52C5" w:rsidRPr="00094001" w:rsidP="00094001" w14:paraId="78E08AB2" w14:textId="77777777">
            <w:pPr>
              <w:pStyle w:val="TableBody"/>
              <w:rPr>
                <w:i/>
                <w:color w:val="4472C4" w:themeColor="accent1"/>
              </w:rPr>
            </w:pPr>
            <w:r w:rsidRPr="00A70A83">
              <w:t xml:space="preserve">Net </w:t>
            </w:r>
            <w:r>
              <w:t>trade receivables</w:t>
            </w:r>
            <w:r w:rsidRPr="00A70A83">
              <w:t xml:space="preserve"> amount to </w:t>
            </w:r>
            <w:r w:rsidRPr="00921DAE">
              <w:t>€</w:t>
            </w:r>
            <w:r w:rsidR="00921DAE">
              <w:t xml:space="preserve"> </w:t>
            </w:r>
            <w:r w:rsidR="00A70169">
              <w:t>952</w:t>
            </w:r>
            <w:r w:rsidRPr="00A70A83">
              <w:t xml:space="preserve"> million, including a</w:t>
            </w:r>
            <w:r>
              <w:t xml:space="preserve">n impairment </w:t>
            </w:r>
            <w:r w:rsidRPr="00A70A83">
              <w:t xml:space="preserve">provision of </w:t>
            </w:r>
            <w:r w:rsidRPr="00921DAE">
              <w:t>€</w:t>
            </w:r>
            <w:r w:rsidRPr="00921DAE" w:rsidR="00921DAE">
              <w:t xml:space="preserve"> </w:t>
            </w:r>
            <w:r w:rsidR="00921DAE">
              <w:t>6</w:t>
            </w:r>
            <w:r w:rsidR="006503AB">
              <w:t>1</w:t>
            </w:r>
            <w:r w:rsidRPr="00A70A83">
              <w:t xml:space="preserve"> million.</w:t>
            </w:r>
            <w:r w:rsidR="005F07FE">
              <w:t xml:space="preserve"> </w:t>
            </w:r>
            <w:r w:rsidRPr="00921DAE" w:rsidR="005F07FE">
              <w:t>The trade receivables include €</w:t>
            </w:r>
            <w:r w:rsidR="002E582C">
              <w:t xml:space="preserve"> </w:t>
            </w:r>
            <w:r w:rsidR="00A70169">
              <w:t>30</w:t>
            </w:r>
            <w:r w:rsidR="00921DAE">
              <w:t xml:space="preserve"> million long-</w:t>
            </w:r>
            <w:r w:rsidRPr="00921DAE" w:rsidR="005F07FE">
              <w:t>term trade receivables.</w:t>
            </w:r>
          </w:p>
          <w:p w:rsidR="00AD62D8" w:rsidRPr="00AD62D8" w:rsidP="00AD62D8" w14:paraId="5935D7EE" w14:textId="77777777">
            <w:pPr>
              <w:pStyle w:val="TableBody"/>
              <w:rPr>
                <w:i/>
                <w:color w:val="4472C4" w:themeColor="accent1"/>
              </w:rPr>
            </w:pPr>
            <w:r>
              <w:t xml:space="preserve">Trade receivables are recognised at their anticipated realisable value, which is the original invoiced </w:t>
            </w:r>
            <w:r>
              <w:t xml:space="preserve">amount less an estimated valuation allowance. </w:t>
            </w:r>
          </w:p>
          <w:p w:rsidR="007A5663" w:rsidRPr="008F2BF9" w:rsidP="00B878CE" w14:paraId="01A9BCAD" w14:textId="77777777">
            <w:pPr>
              <w:pStyle w:val="TableBody"/>
              <w:rPr>
                <w:i/>
                <w:color w:val="4472C4" w:themeColor="accent1"/>
              </w:rPr>
            </w:pPr>
            <w:r>
              <w:t xml:space="preserve">Valuation of trade receivables is a </w:t>
            </w:r>
            <w:r w:rsidR="006C30E9">
              <w:t>key audit matter</w:t>
            </w:r>
            <w:r>
              <w:t xml:space="preserve"> in the audit due to the size of the trad</w:t>
            </w:r>
            <w:r>
              <w:t xml:space="preserve">e receivable balance and the high level of management judgement </w:t>
            </w:r>
            <w:r w:rsidR="00B878CE">
              <w:t>used in determining</w:t>
            </w:r>
            <w:r>
              <w:t xml:space="preserve"> the impairment</w:t>
            </w:r>
            <w:r w:rsidR="00B878CE">
              <w:t xml:space="preserve"> provision</w:t>
            </w:r>
            <w:r>
              <w:t>.</w:t>
            </w:r>
          </w:p>
        </w:tc>
        <w:tc>
          <w:tcPr>
            <w:tcW w:w="4176" w:type="dxa"/>
            <w:tcBorders>
              <w:top w:val="dotted" w:sz="4" w:space="0" w:color="DC6900"/>
              <w:bottom w:val="nil"/>
            </w:tcBorders>
          </w:tcPr>
          <w:p w:rsidR="00716BE4" w:rsidRPr="00716BE4" w:rsidP="00716BE4" w14:paraId="67B7EBF2" w14:textId="77777777">
            <w:pPr>
              <w:pStyle w:val="TableBody"/>
              <w:rPr>
                <w:i/>
              </w:rPr>
            </w:pPr>
            <w:r>
              <w:t xml:space="preserve">For trade receivables and the </w:t>
            </w:r>
            <w:r w:rsidR="00B878CE">
              <w:t>management</w:t>
            </w:r>
            <w:r w:rsidRPr="00716BE4">
              <w:t xml:space="preserve">’s estimations for </w:t>
            </w:r>
            <w:r>
              <w:t>trade receivables impairment</w:t>
            </w:r>
            <w:r w:rsidR="00122583">
              <w:t xml:space="preserve"> provision</w:t>
            </w:r>
            <w:r w:rsidRPr="00716BE4">
              <w:t xml:space="preserve">, our key audit procedures included </w:t>
            </w:r>
            <w:r>
              <w:t>the following</w:t>
            </w:r>
            <w:r>
              <w:t>:</w:t>
            </w:r>
          </w:p>
          <w:p w:rsidR="00716BE4" w:rsidP="00051B03" w14:paraId="15E39E7A" w14:textId="77777777">
            <w:pPr>
              <w:pStyle w:val="TableBodyListNumber"/>
              <w:numPr>
                <w:ilvl w:val="0"/>
                <w:numId w:val="7"/>
              </w:numPr>
            </w:pPr>
            <w:r>
              <w:t>We obtained trade receivables balance confirmations;</w:t>
            </w:r>
          </w:p>
          <w:p w:rsidR="00716BE4" w:rsidP="00051B03" w14:paraId="58435B0D" w14:textId="77777777">
            <w:pPr>
              <w:pStyle w:val="TableBodyListNumber"/>
              <w:numPr>
                <w:ilvl w:val="0"/>
                <w:numId w:val="7"/>
              </w:numPr>
            </w:pPr>
            <w:r>
              <w:t xml:space="preserve">We </w:t>
            </w:r>
            <w:r w:rsidR="00122583">
              <w:t>analysed</w:t>
            </w:r>
            <w:r>
              <w:t xml:space="preserve"> the aging of trade receivable</w:t>
            </w:r>
            <w:r w:rsidR="00122583">
              <w:t>s;</w:t>
            </w:r>
            <w:r w:rsidR="00D704F6">
              <w:t xml:space="preserve"> and</w:t>
            </w:r>
          </w:p>
          <w:p w:rsidR="00AA52C5" w:rsidP="00122583" w14:paraId="2B08EC6C" w14:textId="77777777">
            <w:pPr>
              <w:pStyle w:val="TableBodyListNumber"/>
              <w:numPr>
                <w:ilvl w:val="0"/>
                <w:numId w:val="7"/>
              </w:numPr>
              <w:rPr>
                <w:i/>
              </w:rPr>
            </w:pPr>
            <w:r>
              <w:t xml:space="preserve">We obtained a list of long outstanding receivables and assessed the recoverability of these through inquiry with management and by obtaining </w:t>
            </w:r>
            <w:r>
              <w:t>sufficient corroborative evidence to support the conclusions.</w:t>
            </w:r>
          </w:p>
        </w:tc>
      </w:tr>
      <w:tr w14:paraId="36A48309" w14:textId="77777777" w:rsidTr="00DF501C">
        <w:tblPrEx>
          <w:tblW w:w="7650" w:type="dxa"/>
          <w:tblLook w:val="04A0"/>
        </w:tblPrEx>
        <w:tc>
          <w:tcPr>
            <w:tcW w:w="7650" w:type="dxa"/>
            <w:gridSpan w:val="3"/>
            <w:tcBorders>
              <w:top w:val="dotted" w:sz="4" w:space="0" w:color="DC6900"/>
              <w:bottom w:val="single" w:sz="4" w:space="0" w:color="DC6900"/>
            </w:tcBorders>
          </w:tcPr>
          <w:p w:rsidR="00F64224" w:rsidP="003F31AC" w14:paraId="36355256" w14:textId="77777777">
            <w:pPr>
              <w:pStyle w:val="BodyText"/>
            </w:pPr>
            <w:r>
              <w:t xml:space="preserve">We </w:t>
            </w:r>
            <w:r w:rsidRPr="00723CCE">
              <w:t>have no key audit matters to report with respect to our audit of the parent company financial statements.</w:t>
            </w:r>
            <w:r w:rsidRPr="00723CCE" w:rsidR="00FC5DE1">
              <w:t xml:space="preserve"> There are no significant risks of material misstatement referred to in Article 10(2c) of Regulation (EU) No 537/2014 with respect to the consolidated financial statements</w:t>
            </w:r>
            <w:r w:rsidRPr="002872FC" w:rsidR="00FC5DE1">
              <w:t xml:space="preserve"> or the parent company financial statements</w:t>
            </w:r>
            <w:r w:rsidR="00FC5DE1">
              <w:t>.</w:t>
            </w:r>
          </w:p>
        </w:tc>
      </w:tr>
    </w:tbl>
    <w:p w:rsidR="00E06C4E" w:rsidRPr="002C09EF" w:rsidP="00E06C4E" w14:paraId="6043C948" w14:textId="77777777">
      <w:pPr>
        <w:pStyle w:val="BodySingle"/>
      </w:pPr>
    </w:p>
    <w:p w:rsidR="00E06C4E" w:rsidRPr="00EE19C7" w:rsidP="00C943B0" w14:paraId="238DC745" w14:textId="77777777">
      <w:pPr>
        <w:pStyle w:val="WAuditHeading2"/>
        <w:rPr>
          <w:lang w:val="en-US"/>
        </w:rPr>
      </w:pPr>
      <w:r w:rsidRPr="00EE19C7">
        <w:rPr>
          <w:lang w:val="en-US"/>
        </w:rPr>
        <w:t xml:space="preserve">Responsibilities of </w:t>
      </w:r>
      <w:r w:rsidRPr="00EE19C7" w:rsidR="009046EC">
        <w:rPr>
          <w:lang w:val="en-US"/>
        </w:rPr>
        <w:t>the Board of Directors and the Managing Director</w:t>
      </w:r>
      <w:r w:rsidRPr="00EE19C7" w:rsidR="0020386F">
        <w:rPr>
          <w:lang w:val="en-US"/>
        </w:rPr>
        <w:t xml:space="preserve"> for the Financial S</w:t>
      </w:r>
      <w:r w:rsidRPr="00EE19C7">
        <w:rPr>
          <w:lang w:val="en-US"/>
        </w:rPr>
        <w:t>tatements</w:t>
      </w:r>
    </w:p>
    <w:p w:rsidR="002C79AE" w:rsidP="00E06C4E" w14:paraId="11225C10" w14:textId="77777777">
      <w:pPr>
        <w:pStyle w:val="BodyText"/>
        <w:rPr>
          <w:lang w:val="en-US"/>
        </w:rPr>
      </w:pPr>
      <w:r w:rsidRPr="002C79AE">
        <w:rPr>
          <w:lang w:val="en-US"/>
        </w:rPr>
        <w:t>The Board of Directors and the Managing Director are responsible for the preparation of con</w:t>
      </w:r>
      <w:r w:rsidRPr="002C79AE">
        <w:rPr>
          <w:lang w:val="en-US"/>
        </w:rPr>
        <w:t xml:space="preserve">solidated financial statements that give a true and fair view in accordance with International Financial Reporting Standards (IFRS) as adopted by the EU, </w:t>
      </w:r>
      <w:r w:rsidRPr="00514CB4" w:rsidR="00514CB4">
        <w:rPr>
          <w:lang w:val="en-US"/>
        </w:rPr>
        <w:t xml:space="preserve">and of financial statements that give a true and fair view in accordance with the laws and regulations governing the preparation of financial statements in Finland and comply with statutory requirements. The Board of Directors and the Managing Director are also responsible for such internal control as they determine is necessary to enable the preparation of financial statements that are free from material misstatement, whether due to fraud or error. </w:t>
      </w:r>
    </w:p>
    <w:p w:rsidR="00E06C4E" w:rsidRPr="007C1929" w:rsidP="00E06C4E" w14:paraId="6E329BEA" w14:textId="77777777">
      <w:pPr>
        <w:pStyle w:val="BodyText"/>
        <w:rPr>
          <w:lang w:val="en-US"/>
        </w:rPr>
      </w:pPr>
      <w:r w:rsidRPr="00514CB4">
        <w:rPr>
          <w:lang w:val="en-US"/>
        </w:rPr>
        <w:t>In preparing the financial statements, the Board of Directors and the Managing Director are responsible for assessing the parent company’s and the group’s abil</w:t>
      </w:r>
      <w:r w:rsidRPr="00514CB4">
        <w:rPr>
          <w:lang w:val="en-US"/>
        </w:rPr>
        <w:t xml:space="preserve">ity to continue as </w:t>
      </w:r>
      <w:r w:rsidR="005E16F8">
        <w:rPr>
          <w:lang w:val="en-US"/>
        </w:rPr>
        <w:t xml:space="preserve">a </w:t>
      </w:r>
      <w:r w:rsidRPr="00514CB4">
        <w:rPr>
          <w:lang w:val="en-US"/>
        </w:rPr>
        <w:t xml:space="preserve">going concern, disclosing, as applicable, matters relating to going concern and using the going concern basis of accounting. The financial statements </w:t>
      </w:r>
      <w:r w:rsidRPr="00514CB4">
        <w:rPr>
          <w:lang w:val="en-US"/>
        </w:rPr>
        <w:t>are prepared using the going concern basis of accounting unless there is an intention</w:t>
      </w:r>
      <w:r w:rsidRPr="00514CB4">
        <w:rPr>
          <w:lang w:val="en-US"/>
        </w:rPr>
        <w:t xml:space="preserve"> to liquidate the parent company or the group or </w:t>
      </w:r>
      <w:r w:rsidR="0030010F">
        <w:rPr>
          <w:lang w:val="en-US"/>
        </w:rPr>
        <w:t xml:space="preserve">to </w:t>
      </w:r>
      <w:r w:rsidRPr="00514CB4">
        <w:rPr>
          <w:lang w:val="en-US"/>
        </w:rPr>
        <w:t>cease operations, or there is no realistic alternative but to do so.</w:t>
      </w:r>
      <w:r w:rsidRPr="007C1929">
        <w:rPr>
          <w:lang w:val="en-US"/>
        </w:rPr>
        <w:t xml:space="preserve"> </w:t>
      </w:r>
    </w:p>
    <w:p w:rsidR="00E06C4E" w:rsidRPr="00EE19C7" w:rsidP="00C943B0" w14:paraId="26945280" w14:textId="77777777">
      <w:pPr>
        <w:pStyle w:val="WAuditHeading2"/>
      </w:pPr>
      <w:r w:rsidRPr="00EE19C7">
        <w:t>Auditor’s Responsibilities for the A</w:t>
      </w:r>
      <w:r w:rsidRPr="00EE19C7" w:rsidR="000363BB">
        <w:t xml:space="preserve">udit of the </w:t>
      </w:r>
      <w:r w:rsidRPr="00EE19C7">
        <w:t>F</w:t>
      </w:r>
      <w:r w:rsidRPr="00EE19C7" w:rsidR="000363BB">
        <w:t xml:space="preserve">inancial </w:t>
      </w:r>
      <w:r w:rsidRPr="00EE19C7">
        <w:t>S</w:t>
      </w:r>
      <w:r w:rsidRPr="00EE19C7" w:rsidR="000363BB">
        <w:t>tatements</w:t>
      </w:r>
    </w:p>
    <w:p w:rsidR="00E06C4E" w:rsidP="00710F03" w14:paraId="232DC0F5" w14:textId="77777777">
      <w:pPr>
        <w:pStyle w:val="BodyText"/>
        <w:rPr>
          <w:lang w:val="en-US"/>
        </w:rPr>
      </w:pPr>
      <w:r w:rsidRPr="00DE6E5A">
        <w:rPr>
          <w:lang w:val="en-US"/>
        </w:rPr>
        <w:t>Our objectives are to o</w:t>
      </w:r>
      <w:r w:rsidR="00D576D3">
        <w:rPr>
          <w:lang w:val="en-US"/>
        </w:rPr>
        <w:t>btain reasonable assurance about</w:t>
      </w:r>
      <w:r w:rsidRPr="00DE6E5A">
        <w:rPr>
          <w:lang w:val="en-US"/>
        </w:rPr>
        <w:t xml:space="preserve"> whether the fina</w:t>
      </w:r>
      <w:r>
        <w:rPr>
          <w:lang w:val="en-US"/>
        </w:rPr>
        <w:t xml:space="preserve">ncial statements as a whole are </w:t>
      </w:r>
      <w:r w:rsidRPr="00DE6E5A">
        <w:rPr>
          <w:lang w:val="en-US"/>
        </w:rPr>
        <w:t>free from material misstatement, whether due to fraud or error, and to</w:t>
      </w:r>
      <w:r>
        <w:rPr>
          <w:lang w:val="en-US"/>
        </w:rPr>
        <w:t xml:space="preserve"> issue an auditor’s report that </w:t>
      </w:r>
      <w:r w:rsidRPr="00DE6E5A">
        <w:rPr>
          <w:lang w:val="en-US"/>
        </w:rPr>
        <w:t>includes our opinion. Reasonable assurance is a high level of assurance,</w:t>
      </w:r>
      <w:r>
        <w:rPr>
          <w:lang w:val="en-US"/>
        </w:rPr>
        <w:t xml:space="preserve"> but is not a guarantee that an </w:t>
      </w:r>
      <w:r w:rsidRPr="00DE6E5A">
        <w:rPr>
          <w:lang w:val="en-US"/>
        </w:rPr>
        <w:t>a</w:t>
      </w:r>
      <w:r w:rsidRPr="00DE6E5A">
        <w:rPr>
          <w:lang w:val="en-US"/>
        </w:rPr>
        <w:t xml:space="preserve">udit conducted in accordance with </w:t>
      </w:r>
      <w:r>
        <w:rPr>
          <w:lang w:val="en-US"/>
        </w:rPr>
        <w:t>good auditing practice</w:t>
      </w:r>
      <w:r w:rsidRPr="00DE6E5A">
        <w:rPr>
          <w:lang w:val="en-US"/>
        </w:rPr>
        <w:t xml:space="preserve"> will always detect a materi</w:t>
      </w:r>
      <w:r>
        <w:rPr>
          <w:lang w:val="en-US"/>
        </w:rPr>
        <w:t xml:space="preserve">al misstatement when it exists. </w:t>
      </w:r>
      <w:r w:rsidRPr="00DE6E5A">
        <w:rPr>
          <w:lang w:val="en-US"/>
        </w:rPr>
        <w:t>Misstatements can arise from fraud or error and are considered mate</w:t>
      </w:r>
      <w:r>
        <w:rPr>
          <w:lang w:val="en-US"/>
        </w:rPr>
        <w:t xml:space="preserve">rial if, individually or in the </w:t>
      </w:r>
      <w:r w:rsidRPr="00DE6E5A">
        <w:rPr>
          <w:lang w:val="en-US"/>
        </w:rPr>
        <w:t>aggregate, they could reasonably be expec</w:t>
      </w:r>
      <w:r w:rsidRPr="00DE6E5A">
        <w:rPr>
          <w:lang w:val="en-US"/>
        </w:rPr>
        <w:t xml:space="preserve">ted to influence the economic </w:t>
      </w:r>
      <w:r>
        <w:rPr>
          <w:lang w:val="en-US"/>
        </w:rPr>
        <w:t xml:space="preserve">decisions of users taken on the </w:t>
      </w:r>
      <w:r w:rsidRPr="00DE6E5A">
        <w:rPr>
          <w:lang w:val="en-US"/>
        </w:rPr>
        <w:t>basis of these financial statements.</w:t>
      </w:r>
    </w:p>
    <w:p w:rsidR="000C4FD0" w:rsidRPr="000C4FD0" w:rsidP="000C4FD0" w14:paraId="2D504348" w14:textId="77777777">
      <w:pPr>
        <w:pStyle w:val="BodyText"/>
        <w:rPr>
          <w:lang w:val="en-US"/>
        </w:rPr>
      </w:pPr>
      <w:r w:rsidRPr="000C4FD0">
        <w:rPr>
          <w:lang w:val="en-US"/>
        </w:rPr>
        <w:t xml:space="preserve">As part of an audit in accordance </w:t>
      </w:r>
      <w:r w:rsidR="00B33C25">
        <w:rPr>
          <w:lang w:val="en-US"/>
        </w:rPr>
        <w:t xml:space="preserve">with </w:t>
      </w:r>
      <w:r w:rsidRPr="000C4FD0">
        <w:rPr>
          <w:lang w:val="en-US"/>
        </w:rPr>
        <w:t>good auditing practice, we exercise professional judgment and maintain professional skepticism throughout the audit. W</w:t>
      </w:r>
      <w:r w:rsidRPr="000C4FD0">
        <w:rPr>
          <w:lang w:val="en-US"/>
        </w:rPr>
        <w:t>e also:</w:t>
      </w:r>
    </w:p>
    <w:p w:rsidR="000C4FD0" w:rsidRPr="000C4FD0" w:rsidP="000C4FD0" w14:paraId="7B31F78C" w14:textId="77777777">
      <w:pPr>
        <w:pStyle w:val="BodyText"/>
        <w:numPr>
          <w:ilvl w:val="0"/>
          <w:numId w:val="8"/>
        </w:numPr>
        <w:ind w:left="357" w:hanging="357"/>
        <w:rPr>
          <w:lang w:val="en-US"/>
        </w:rPr>
      </w:pPr>
      <w:r w:rsidRPr="000C4FD0">
        <w:rPr>
          <w:lang w:val="en-US"/>
        </w:rPr>
        <w:t>Identify and assess the risks of material misstatement of the financial statements, whether due to fraud or error, design and perform audit procedures responsive to those risks, and obtain audit evidence that is sufficient and appropriate to provide a basi</w:t>
      </w:r>
      <w:r w:rsidRPr="000C4FD0">
        <w:rPr>
          <w:lang w:val="en-US"/>
        </w:rPr>
        <w:t>s for our opinion. The risk of not detecting a material misstatement resulting from fraud is higher than for one resulting from error, as fraud may involve collusion, forgery, intentional omissions, misrepresentations, or the override of internal control.</w:t>
      </w:r>
    </w:p>
    <w:p w:rsidR="000C4FD0" w:rsidRPr="000C4FD0" w:rsidP="000C4FD0" w14:paraId="46F2A042" w14:textId="77777777">
      <w:pPr>
        <w:pStyle w:val="BodyText"/>
        <w:numPr>
          <w:ilvl w:val="0"/>
          <w:numId w:val="8"/>
        </w:numPr>
        <w:ind w:left="357" w:hanging="357"/>
        <w:rPr>
          <w:lang w:val="en-US"/>
        </w:rPr>
      </w:pPr>
      <w:r w:rsidRPr="000C4FD0">
        <w:rPr>
          <w:lang w:val="en-US"/>
        </w:rPr>
        <w:t>Obtain an understanding of internal control relevant to the audit in order to design audit procedures that are appropriate in the circumstances, but not for the purpose of expressing an opinion on the effectiv</w:t>
      </w:r>
      <w:r w:rsidR="0056517E">
        <w:rPr>
          <w:lang w:val="en-US"/>
        </w:rPr>
        <w:t>eness of the parent company’s or</w:t>
      </w:r>
      <w:r w:rsidRPr="000C4FD0">
        <w:rPr>
          <w:lang w:val="en-US"/>
        </w:rPr>
        <w:t xml:space="preserve"> the group’s in</w:t>
      </w:r>
      <w:r w:rsidRPr="000C4FD0">
        <w:rPr>
          <w:lang w:val="en-US"/>
        </w:rPr>
        <w:t xml:space="preserve">ternal control. </w:t>
      </w:r>
    </w:p>
    <w:p w:rsidR="000C4FD0" w:rsidRPr="000C4FD0" w:rsidP="000C4FD0" w14:paraId="64FADB1E" w14:textId="77777777">
      <w:pPr>
        <w:pStyle w:val="BodyText"/>
        <w:numPr>
          <w:ilvl w:val="0"/>
          <w:numId w:val="8"/>
        </w:numPr>
        <w:ind w:left="357" w:hanging="357"/>
        <w:rPr>
          <w:lang w:val="en-US"/>
        </w:rPr>
      </w:pPr>
      <w:r w:rsidRPr="000C4FD0">
        <w:rPr>
          <w:lang w:val="en-US"/>
        </w:rPr>
        <w:t>Evaluate the appropriateness of accounting policies used and the reasonableness of accounting estimates and related disclosures made by management.</w:t>
      </w:r>
    </w:p>
    <w:p w:rsidR="000C4FD0" w:rsidRPr="000C4FD0" w:rsidP="000C4FD0" w14:paraId="06B4F142" w14:textId="77777777">
      <w:pPr>
        <w:pStyle w:val="BodyText"/>
        <w:numPr>
          <w:ilvl w:val="0"/>
          <w:numId w:val="8"/>
        </w:numPr>
        <w:ind w:left="357" w:hanging="357"/>
        <w:rPr>
          <w:lang w:val="en-US"/>
        </w:rPr>
      </w:pPr>
      <w:r w:rsidRPr="000C4FD0">
        <w:rPr>
          <w:lang w:val="en-US"/>
        </w:rPr>
        <w:t xml:space="preserve">Conclude on the appropriateness of </w:t>
      </w:r>
      <w:r w:rsidR="009046EC">
        <w:rPr>
          <w:lang w:val="en-US"/>
        </w:rPr>
        <w:t>the Board of Directors’ and the Managing Director</w:t>
      </w:r>
      <w:r w:rsidRPr="000C4FD0">
        <w:rPr>
          <w:lang w:val="en-US"/>
        </w:rPr>
        <w:t xml:space="preserve">’s use </w:t>
      </w:r>
      <w:r w:rsidRPr="000C4FD0">
        <w:rPr>
          <w:lang w:val="en-US"/>
        </w:rPr>
        <w:t>of the going concern basis of accounting and based on the audit evidence obtained, whether a material uncertainty exists related to events or conditions that may cast significant doubt on the parent company’s or the group’s ability to continue as a going c</w:t>
      </w:r>
      <w:r w:rsidRPr="000C4FD0">
        <w:rPr>
          <w:lang w:val="en-US"/>
        </w:rPr>
        <w:t>oncern. If we conclude that a material uncertainty exists, we are required to draw attention in our auditor’s report to the related disclosures in the financial statements or, if such disclosures are inadequate, to modify our opinion. Our conclusions are b</w:t>
      </w:r>
      <w:r w:rsidRPr="000C4FD0">
        <w:rPr>
          <w:lang w:val="en-US"/>
        </w:rPr>
        <w:t>ased on the audit evidence obtained up to the date of our auditor’s report. However, future events or conditions may cause the parent company or the group to cease to continue as a going concern.</w:t>
      </w:r>
    </w:p>
    <w:p w:rsidR="000C4FD0" w:rsidRPr="000C4FD0" w:rsidP="000C4FD0" w14:paraId="66981EE8" w14:textId="77777777">
      <w:pPr>
        <w:pStyle w:val="BodyText"/>
        <w:numPr>
          <w:ilvl w:val="0"/>
          <w:numId w:val="8"/>
        </w:numPr>
        <w:ind w:left="357" w:hanging="357"/>
        <w:rPr>
          <w:lang w:val="en-US"/>
        </w:rPr>
      </w:pPr>
      <w:r w:rsidRPr="000C4FD0">
        <w:rPr>
          <w:lang w:val="en-US"/>
        </w:rPr>
        <w:t xml:space="preserve">Evaluate the overall presentation, structure and content of </w:t>
      </w:r>
      <w:r w:rsidRPr="000C4FD0">
        <w:rPr>
          <w:lang w:val="en-US"/>
        </w:rPr>
        <w:t xml:space="preserve">the financial statements, including the disclosures, and whether the financial statements represent the underlying transactions and events </w:t>
      </w:r>
      <w:r w:rsidR="003F5A19">
        <w:rPr>
          <w:lang w:val="en-US"/>
        </w:rPr>
        <w:t>so</w:t>
      </w:r>
      <w:r w:rsidRPr="000C4FD0">
        <w:rPr>
          <w:lang w:val="en-US"/>
        </w:rPr>
        <w:t xml:space="preserve"> that </w:t>
      </w:r>
      <w:r w:rsidR="003F5A19">
        <w:rPr>
          <w:lang w:val="en-US"/>
        </w:rPr>
        <w:t>the financial statements give a true and fair view</w:t>
      </w:r>
      <w:r w:rsidRPr="000C4FD0">
        <w:rPr>
          <w:lang w:val="en-US"/>
        </w:rPr>
        <w:t>.</w:t>
      </w:r>
    </w:p>
    <w:p w:rsidR="000C4FD0" w:rsidRPr="000C4FD0" w:rsidP="000C4FD0" w14:paraId="74E69161" w14:textId="77777777">
      <w:pPr>
        <w:pStyle w:val="BodyText"/>
        <w:numPr>
          <w:ilvl w:val="0"/>
          <w:numId w:val="8"/>
        </w:numPr>
        <w:ind w:left="357" w:hanging="357"/>
        <w:rPr>
          <w:lang w:val="en-US"/>
        </w:rPr>
      </w:pPr>
      <w:r w:rsidRPr="000C4FD0">
        <w:rPr>
          <w:lang w:val="en-US"/>
        </w:rPr>
        <w:t>Obtain sufficient appropriate audit evidence regarding th</w:t>
      </w:r>
      <w:r w:rsidRPr="000C4FD0">
        <w:rPr>
          <w:lang w:val="en-US"/>
        </w:rPr>
        <w:t>e financial information of the entities or business activities within the group to express an opinion on the consolidated financial statements. We are responsible for the direction, supervision and performance of the group audit. We remain solely responsib</w:t>
      </w:r>
      <w:r w:rsidRPr="000C4FD0">
        <w:rPr>
          <w:lang w:val="en-US"/>
        </w:rPr>
        <w:t>le for our audit opinion.</w:t>
      </w:r>
    </w:p>
    <w:p w:rsidR="000C4FD0" w:rsidRPr="000C4FD0" w:rsidP="000C4FD0" w14:paraId="4C64340B" w14:textId="77777777">
      <w:pPr>
        <w:pStyle w:val="BodyText"/>
        <w:rPr>
          <w:lang w:val="en-US"/>
        </w:rPr>
      </w:pPr>
      <w:r w:rsidRPr="000C4FD0">
        <w:rPr>
          <w:lang w:val="en-US"/>
        </w:rPr>
        <w:t>We communicate with those charged with governance regarding, among other matters, the planned scope and timing of the audit and significant audit findings, including any significant deficiencies in internal control that we identif</w:t>
      </w:r>
      <w:r w:rsidRPr="000C4FD0">
        <w:rPr>
          <w:lang w:val="en-US"/>
        </w:rPr>
        <w:t>y during our audit.</w:t>
      </w:r>
    </w:p>
    <w:p w:rsidR="000C4FD0" w:rsidRPr="000C4FD0" w:rsidP="000C4FD0" w14:paraId="3B2D62F0" w14:textId="77777777">
      <w:pPr>
        <w:pStyle w:val="BodyText"/>
        <w:rPr>
          <w:lang w:val="en-US"/>
        </w:rPr>
      </w:pPr>
      <w:r w:rsidRPr="000C4FD0">
        <w:rPr>
          <w:lang w:val="en-US"/>
        </w:rPr>
        <w:t>We also provide those charged with governance with a statement that we have complied with relevant ethical requirements regarding independence, and to communicate with them all relationships and other matters that may reasonably be thou</w:t>
      </w:r>
      <w:r w:rsidRPr="000C4FD0">
        <w:rPr>
          <w:lang w:val="en-US"/>
        </w:rPr>
        <w:t>ght to bear on our independence, and where applicable, related safeguards.</w:t>
      </w:r>
    </w:p>
    <w:p w:rsidR="002E582C" w:rsidRPr="000C4FD0" w:rsidP="000C4FD0" w14:paraId="57395BF7" w14:textId="77777777">
      <w:pPr>
        <w:pStyle w:val="BodyText"/>
        <w:rPr>
          <w:lang w:val="en-US"/>
        </w:rPr>
      </w:pPr>
      <w:r w:rsidRPr="000C4FD0">
        <w:rPr>
          <w:lang w:val="en-US"/>
        </w:rPr>
        <w:t xml:space="preserve">From the matters communicated with those charged with governance, we determine those matters that were of most significance in the audit of the financial </w:t>
      </w:r>
      <w:r w:rsidRPr="000C4FD0">
        <w:rPr>
          <w:lang w:val="en-US"/>
        </w:rPr>
        <w:t>statements of the current p</w:t>
      </w:r>
      <w:r w:rsidRPr="000C4FD0">
        <w:rPr>
          <w:lang w:val="en-US"/>
        </w:rPr>
        <w:t>eriod and are therefore the key audit matters. We describe these matters in our auditor’s report unless law or regulation precludes public disclosure about the matter or when, in extremely rare circumstances, we determine that a matter should not be commun</w:t>
      </w:r>
      <w:r w:rsidRPr="000C4FD0">
        <w:rPr>
          <w:lang w:val="en-US"/>
        </w:rPr>
        <w:t>icated in our report because the adverse consequences of doing so would reasonably be expected to outweigh the public interest benefits of such communication.</w:t>
      </w:r>
    </w:p>
    <w:p w:rsidR="00E06C4E" w:rsidRPr="008A3E2E" w:rsidP="00C943B0" w14:paraId="4E89F735" w14:textId="77777777">
      <w:pPr>
        <w:pStyle w:val="WAuditHeading1"/>
      </w:pPr>
      <w:r>
        <w:t>Other Reporting R</w:t>
      </w:r>
      <w:r w:rsidRPr="008A3E2E" w:rsidR="006A4395">
        <w:t>equirements</w:t>
      </w:r>
      <w:r w:rsidRPr="008A3E2E">
        <w:t xml:space="preserve"> </w:t>
      </w:r>
    </w:p>
    <w:p w:rsidR="00957A4E" w:rsidRPr="00EE19C7" w:rsidP="00C943B0" w14:paraId="1DDD9C59" w14:textId="77777777">
      <w:pPr>
        <w:pStyle w:val="WAuditHeading2"/>
      </w:pPr>
      <w:r w:rsidRPr="00EE19C7">
        <w:t>Appointment</w:t>
      </w:r>
    </w:p>
    <w:p w:rsidR="00957A4E" w:rsidRPr="00536BC9" w:rsidP="00957A4E" w14:paraId="59C3D1FB" w14:textId="77777777">
      <w:pPr>
        <w:pStyle w:val="BodyText"/>
        <w:rPr>
          <w:lang w:val="en-US"/>
        </w:rPr>
      </w:pPr>
      <w:r w:rsidRPr="000F1109">
        <w:rPr>
          <w:lang w:val="en-US"/>
        </w:rPr>
        <w:t>We were first appointed as auditors by</w:t>
      </w:r>
      <w:r w:rsidR="00667B2C">
        <w:rPr>
          <w:lang w:val="en-US"/>
        </w:rPr>
        <w:t xml:space="preserve"> the annual general meeting on 2 March 2017</w:t>
      </w:r>
      <w:r w:rsidRPr="000F1109">
        <w:rPr>
          <w:lang w:val="en-US"/>
        </w:rPr>
        <w:t xml:space="preserve">.  </w:t>
      </w:r>
      <w:r w:rsidRPr="000F1109" w:rsidR="00890CF0">
        <w:rPr>
          <w:lang w:val="en-US"/>
        </w:rPr>
        <w:t xml:space="preserve">Our appointment represents a total period of uninterrupted engagement of </w:t>
      </w:r>
      <w:r w:rsidR="00015942">
        <w:rPr>
          <w:lang w:val="en-US"/>
        </w:rPr>
        <w:t>four</w:t>
      </w:r>
      <w:r w:rsidR="00890CF0">
        <w:rPr>
          <w:lang w:val="en-US"/>
        </w:rPr>
        <w:t xml:space="preserve"> years.</w:t>
      </w:r>
    </w:p>
    <w:p w:rsidR="00E06C4E" w:rsidRPr="00EE19C7" w:rsidP="00C943B0" w14:paraId="485B673F" w14:textId="77777777">
      <w:pPr>
        <w:pStyle w:val="WAuditHeading2"/>
        <w:rPr>
          <w:lang w:val="en-US"/>
        </w:rPr>
      </w:pPr>
      <w:r w:rsidRPr="00EE19C7">
        <w:rPr>
          <w:lang w:val="en-US"/>
        </w:rPr>
        <w:t>Other I</w:t>
      </w:r>
      <w:r w:rsidRPr="00EE19C7" w:rsidR="007D7E83">
        <w:rPr>
          <w:lang w:val="en-US"/>
        </w:rPr>
        <w:t>nformation</w:t>
      </w:r>
      <w:r w:rsidRPr="00EE19C7">
        <w:rPr>
          <w:lang w:val="en-US"/>
        </w:rPr>
        <w:t xml:space="preserve"> </w:t>
      </w:r>
    </w:p>
    <w:p w:rsidR="001370F3" w:rsidP="001370F3" w14:paraId="7594A64A" w14:textId="77777777">
      <w:pPr>
        <w:pStyle w:val="BodyText"/>
        <w:rPr>
          <w:lang w:val="en-US"/>
        </w:rPr>
      </w:pPr>
      <w:r w:rsidRPr="002C79AE">
        <w:rPr>
          <w:lang w:val="en-US"/>
        </w:rPr>
        <w:t xml:space="preserve">The Board of Directors and the Managing Director are responsible </w:t>
      </w:r>
      <w:r>
        <w:rPr>
          <w:lang w:val="en-US"/>
        </w:rPr>
        <w:t>for the other information.</w:t>
      </w:r>
      <w:r w:rsidRPr="00421902">
        <w:rPr>
          <w:lang w:val="en-US"/>
        </w:rPr>
        <w:t xml:space="preserve"> </w:t>
      </w:r>
      <w:r w:rsidRPr="007D7E83">
        <w:rPr>
          <w:lang w:val="en-US"/>
        </w:rPr>
        <w:t>The other info</w:t>
      </w:r>
      <w:r w:rsidRPr="007D7E83">
        <w:rPr>
          <w:lang w:val="en-US"/>
        </w:rPr>
        <w:t xml:space="preserve">rmation comprises </w:t>
      </w:r>
      <w:r>
        <w:rPr>
          <w:lang w:val="en-US"/>
        </w:rPr>
        <w:t xml:space="preserve">the report of the Board of Directors and the information included in the Annual Report, </w:t>
      </w:r>
      <w:r w:rsidRPr="007D7E83">
        <w:rPr>
          <w:lang w:val="en-US"/>
        </w:rPr>
        <w:t>but does not include the financial statements and our auditor’s report thereon</w:t>
      </w:r>
      <w:r>
        <w:rPr>
          <w:lang w:val="en-US"/>
        </w:rPr>
        <w:t xml:space="preserve">. </w:t>
      </w:r>
    </w:p>
    <w:p w:rsidR="001370F3" w:rsidRPr="00194448" w:rsidP="001370F3" w14:paraId="62BC4CE2" w14:textId="77777777">
      <w:pPr>
        <w:pStyle w:val="BodyText"/>
        <w:rPr>
          <w:lang w:val="en-US"/>
        </w:rPr>
      </w:pPr>
      <w:r w:rsidRPr="00194448">
        <w:rPr>
          <w:lang w:val="en-US"/>
        </w:rPr>
        <w:t>Our opinion on the financial statements does not cover the other info</w:t>
      </w:r>
      <w:r w:rsidRPr="00194448">
        <w:rPr>
          <w:lang w:val="en-US"/>
        </w:rPr>
        <w:t>rmat</w:t>
      </w:r>
      <w:r>
        <w:rPr>
          <w:lang w:val="en-US"/>
        </w:rPr>
        <w:t>ion</w:t>
      </w:r>
      <w:r w:rsidRPr="00194448">
        <w:rPr>
          <w:lang w:val="en-US"/>
        </w:rPr>
        <w:t>.</w:t>
      </w:r>
    </w:p>
    <w:p w:rsidR="001370F3" w:rsidRPr="00703D92" w:rsidP="001370F3" w14:paraId="6CDE586F" w14:textId="77777777">
      <w:pPr>
        <w:pStyle w:val="BodyText"/>
        <w:rPr>
          <w:lang w:val="en-US"/>
        </w:rPr>
      </w:pPr>
      <w:r w:rsidRPr="00202EE4">
        <w:rPr>
          <w:lang w:val="en-US"/>
        </w:rPr>
        <w:t>In connection with our audit of the financial statements, our responsibility is to read the other information</w:t>
      </w:r>
      <w:r>
        <w:rPr>
          <w:lang w:val="en-US"/>
        </w:rPr>
        <w:t xml:space="preserve"> </w:t>
      </w:r>
      <w:r w:rsidRPr="00202EE4">
        <w:rPr>
          <w:lang w:val="en-US"/>
        </w:rPr>
        <w:t>and, in doing so, consider whether the other information is materially inconsistent with the</w:t>
      </w:r>
      <w:r>
        <w:rPr>
          <w:lang w:val="en-US"/>
        </w:rPr>
        <w:t xml:space="preserve"> </w:t>
      </w:r>
      <w:r w:rsidRPr="00202EE4">
        <w:rPr>
          <w:lang w:val="en-US"/>
        </w:rPr>
        <w:t>financial statements or our knowledge obtain</w:t>
      </w:r>
      <w:r w:rsidRPr="00202EE4">
        <w:rPr>
          <w:lang w:val="en-US"/>
        </w:rPr>
        <w:t>ed in the audit, or oth</w:t>
      </w:r>
      <w:r>
        <w:rPr>
          <w:lang w:val="en-US"/>
        </w:rPr>
        <w:t xml:space="preserve">erwise appears to be materially </w:t>
      </w:r>
      <w:r w:rsidRPr="00202EE4">
        <w:rPr>
          <w:lang w:val="en-US"/>
        </w:rPr>
        <w:t>misstated.</w:t>
      </w:r>
      <w:r>
        <w:rPr>
          <w:lang w:val="en-US"/>
        </w:rPr>
        <w:t xml:space="preserve"> </w:t>
      </w:r>
      <w:r w:rsidRPr="00703D92">
        <w:rPr>
          <w:lang w:val="en-US"/>
        </w:rPr>
        <w:t>With respect to the report of the Board of Directors</w:t>
      </w:r>
      <w:r>
        <w:rPr>
          <w:lang w:val="en-US"/>
        </w:rPr>
        <w:t>,</w:t>
      </w:r>
      <w:r w:rsidRPr="00703D92">
        <w:rPr>
          <w:lang w:val="en-US"/>
        </w:rPr>
        <w:t xml:space="preserve"> our responsibility also includes considering </w:t>
      </w:r>
      <w:r>
        <w:rPr>
          <w:lang w:val="en-US"/>
        </w:rPr>
        <w:t xml:space="preserve">whether the report of the Board of Directors </w:t>
      </w:r>
      <w:r w:rsidRPr="00703D92">
        <w:rPr>
          <w:lang w:val="en-US"/>
        </w:rPr>
        <w:t>has been prepared in accordance with the appli</w:t>
      </w:r>
      <w:r w:rsidRPr="00703D92">
        <w:rPr>
          <w:lang w:val="en-US"/>
        </w:rPr>
        <w:t xml:space="preserve">cable </w:t>
      </w:r>
      <w:r>
        <w:rPr>
          <w:lang w:val="en-US"/>
        </w:rPr>
        <w:t>laws and regulations.</w:t>
      </w:r>
    </w:p>
    <w:p w:rsidR="001370F3" w:rsidP="001370F3" w14:paraId="28F38E77" w14:textId="77777777">
      <w:pPr>
        <w:pStyle w:val="BodyText"/>
        <w:keepNext/>
        <w:rPr>
          <w:lang w:val="en-US"/>
        </w:rPr>
      </w:pPr>
      <w:r>
        <w:rPr>
          <w:lang w:val="en-US"/>
        </w:rPr>
        <w:t>In our opinion</w:t>
      </w:r>
    </w:p>
    <w:p w:rsidR="001370F3" w:rsidP="001370F3" w14:paraId="22AD33B0" w14:textId="77777777">
      <w:pPr>
        <w:pStyle w:val="BodyText"/>
        <w:keepNext/>
        <w:numPr>
          <w:ilvl w:val="0"/>
          <w:numId w:val="9"/>
        </w:numPr>
        <w:ind w:left="357" w:hanging="357"/>
        <w:rPr>
          <w:lang w:val="en-US"/>
        </w:rPr>
      </w:pPr>
      <w:r w:rsidRPr="00703D92">
        <w:rPr>
          <w:lang w:val="en-US"/>
        </w:rPr>
        <w:t xml:space="preserve">the information in the report of the Board of Directors is consistent with the </w:t>
      </w:r>
      <w:r>
        <w:rPr>
          <w:lang w:val="en-US"/>
        </w:rPr>
        <w:t>information in the financial statements</w:t>
      </w:r>
    </w:p>
    <w:p w:rsidR="001370F3" w:rsidRPr="00703D92" w:rsidP="001370F3" w14:paraId="69A4B336" w14:textId="77777777">
      <w:pPr>
        <w:pStyle w:val="BodyText"/>
        <w:numPr>
          <w:ilvl w:val="0"/>
          <w:numId w:val="9"/>
        </w:numPr>
        <w:ind w:left="357" w:hanging="357"/>
        <w:rPr>
          <w:lang w:val="en-US"/>
        </w:rPr>
      </w:pPr>
      <w:r w:rsidRPr="00703D92">
        <w:rPr>
          <w:lang w:val="en-US"/>
        </w:rPr>
        <w:t xml:space="preserve">the report of the Board of Directors has been prepared in accordance with </w:t>
      </w:r>
      <w:r>
        <w:rPr>
          <w:lang w:val="en-US"/>
        </w:rPr>
        <w:t>the applicable laws and regulations.</w:t>
      </w:r>
    </w:p>
    <w:p w:rsidR="002C79AE" w:rsidP="001370F3" w14:paraId="6E7C1B5F" w14:textId="77777777">
      <w:pPr>
        <w:pStyle w:val="BodyText"/>
        <w:rPr>
          <w:lang w:val="en-US"/>
        </w:rPr>
      </w:pPr>
      <w:r w:rsidRPr="00202EE4">
        <w:rPr>
          <w:lang w:val="en-US"/>
        </w:rPr>
        <w:t>If, based on th</w:t>
      </w:r>
      <w:r>
        <w:rPr>
          <w:lang w:val="en-US"/>
        </w:rPr>
        <w:t>e work we have performed</w:t>
      </w:r>
      <w:r w:rsidRPr="00202EE4">
        <w:rPr>
          <w:lang w:val="en-US"/>
        </w:rPr>
        <w:t>, we conclude that there is</w:t>
      </w:r>
      <w:r>
        <w:rPr>
          <w:lang w:val="en-US"/>
        </w:rPr>
        <w:t xml:space="preserve"> a material misstatement of the</w:t>
      </w:r>
      <w:r w:rsidRPr="00202EE4">
        <w:rPr>
          <w:lang w:val="en-US"/>
        </w:rPr>
        <w:t xml:space="preserve"> oth</w:t>
      </w:r>
      <w:r>
        <w:rPr>
          <w:lang w:val="en-US"/>
        </w:rPr>
        <w:t xml:space="preserve">er information, we are required </w:t>
      </w:r>
      <w:r w:rsidRPr="00202EE4">
        <w:rPr>
          <w:lang w:val="en-US"/>
        </w:rPr>
        <w:t>to report th</w:t>
      </w:r>
      <w:r w:rsidRPr="00202EE4">
        <w:rPr>
          <w:lang w:val="en-US"/>
        </w:rPr>
        <w:t>at fact</w:t>
      </w:r>
      <w:r w:rsidRPr="00F46410">
        <w:rPr>
          <w:lang w:val="en-US"/>
        </w:rPr>
        <w:t>. We have nothing to report in this reg</w:t>
      </w:r>
      <w:r w:rsidRPr="00F1352E">
        <w:rPr>
          <w:lang w:val="en-US"/>
        </w:rPr>
        <w:t>ard</w:t>
      </w:r>
      <w:r w:rsidRPr="00F1352E" w:rsidR="00202EE4">
        <w:rPr>
          <w:lang w:val="en-US"/>
        </w:rPr>
        <w:t>.</w:t>
      </w:r>
    </w:p>
    <w:p w:rsidR="00C26C4F" w:rsidRPr="00EE19C7" w:rsidP="00C943B0" w14:paraId="2A32F5E9" w14:textId="77777777">
      <w:pPr>
        <w:pStyle w:val="WAuditHeading2"/>
        <w:rPr>
          <w:lang w:val="en-US"/>
        </w:rPr>
      </w:pPr>
      <w:r w:rsidRPr="00EE19C7">
        <w:rPr>
          <w:lang w:val="en-US"/>
        </w:rPr>
        <w:t>Other Statements</w:t>
      </w:r>
    </w:p>
    <w:p w:rsidR="00C26C4F" w:rsidRPr="00C26C4F" w:rsidP="00C26C4F" w14:paraId="0010C2CA" w14:textId="77777777">
      <w:pPr>
        <w:pStyle w:val="BodyText"/>
        <w:spacing w:after="0" w:line="240" w:lineRule="auto"/>
        <w:rPr>
          <w:lang w:val="en-US"/>
        </w:rPr>
      </w:pPr>
      <w:r w:rsidRPr="00C26C4F">
        <w:rPr>
          <w:lang w:val="en-US"/>
        </w:rPr>
        <w:t xml:space="preserve">We support that the financial statements should be adopted. The proposal by the Board of Directors regarding the use of the </w:t>
      </w:r>
      <w:r>
        <w:rPr>
          <w:lang w:val="en-US"/>
        </w:rPr>
        <w:t xml:space="preserve">distributable funds </w:t>
      </w:r>
      <w:r w:rsidRPr="00C26C4F">
        <w:rPr>
          <w:lang w:val="en-US"/>
        </w:rPr>
        <w:t>is in compliance with the Limited Liability Companies Act. We support that the Members of the Board of Directors</w:t>
      </w:r>
      <w:r w:rsidRPr="00C26C4F">
        <w:rPr>
          <w:lang w:val="en-US"/>
        </w:rPr>
        <w:t xml:space="preserve"> and the </w:t>
      </w:r>
      <w:r>
        <w:rPr>
          <w:lang w:val="en-US"/>
        </w:rPr>
        <w:t>President and CEO</w:t>
      </w:r>
      <w:r w:rsidRPr="00C26C4F">
        <w:rPr>
          <w:lang w:val="en-US"/>
        </w:rPr>
        <w:t xml:space="preserve"> should be discharged from liability for the financial period audited by us.</w:t>
      </w:r>
    </w:p>
    <w:p w:rsidR="00E06C4E" w:rsidRPr="00C26C4F" w:rsidP="00E06C4E" w14:paraId="1E0D7C60" w14:textId="77777777">
      <w:pPr>
        <w:pStyle w:val="BodyText"/>
      </w:pPr>
    </w:p>
    <w:p w:rsidR="00E06C4E" w:rsidRPr="00667B2C" w:rsidP="00E06C4E" w14:paraId="0669432D" w14:textId="77777777">
      <w:pPr>
        <w:pStyle w:val="BodyText"/>
        <w:rPr>
          <w:lang w:val="en-US"/>
        </w:rPr>
      </w:pPr>
      <w:r>
        <w:rPr>
          <w:lang w:val="en-US"/>
        </w:rPr>
        <w:t xml:space="preserve">Helsinki </w:t>
      </w:r>
      <w:r w:rsidR="0097375A">
        <w:rPr>
          <w:lang w:val="en-US"/>
        </w:rPr>
        <w:t>5</w:t>
      </w:r>
      <w:r w:rsidR="00667B2C">
        <w:rPr>
          <w:lang w:val="en-US"/>
        </w:rPr>
        <w:t xml:space="preserve"> </w:t>
      </w:r>
      <w:r w:rsidR="006503AB">
        <w:rPr>
          <w:lang w:val="en-US"/>
        </w:rPr>
        <w:t>Febr</w:t>
      </w:r>
      <w:r w:rsidR="00667B2C">
        <w:rPr>
          <w:lang w:val="en-US"/>
        </w:rPr>
        <w:t>uary</w:t>
      </w:r>
      <w:r w:rsidRPr="00667B2C" w:rsidR="00AD46BC">
        <w:rPr>
          <w:lang w:val="en-US"/>
        </w:rPr>
        <w:t xml:space="preserve"> </w:t>
      </w:r>
      <w:r>
        <w:rPr>
          <w:lang w:val="en-US"/>
        </w:rPr>
        <w:t>20</w:t>
      </w:r>
      <w:r w:rsidR="006503AB">
        <w:rPr>
          <w:lang w:val="en-US"/>
        </w:rPr>
        <w:t>2</w:t>
      </w:r>
      <w:r w:rsidR="0097375A">
        <w:rPr>
          <w:lang w:val="en-US"/>
        </w:rPr>
        <w:t>1</w:t>
      </w:r>
    </w:p>
    <w:p w:rsidR="00E06C4E" w:rsidRPr="00F46410" w:rsidP="00E06C4E" w14:paraId="0F42BD5D" w14:textId="77777777">
      <w:pPr>
        <w:pStyle w:val="BodyText"/>
        <w:rPr>
          <w:lang w:val="en-US"/>
        </w:rPr>
      </w:pPr>
      <w:r w:rsidRPr="00F46410">
        <w:rPr>
          <w:b/>
          <w:lang w:val="en-US"/>
        </w:rPr>
        <w:t>PricewaterhouseCoopers Oy</w:t>
      </w:r>
      <w:r w:rsidRPr="00F46410">
        <w:rPr>
          <w:lang w:val="en-US"/>
        </w:rPr>
        <w:br/>
      </w:r>
      <w:r w:rsidRPr="00F46410" w:rsidR="00F46410">
        <w:rPr>
          <w:lang w:val="en-US"/>
        </w:rPr>
        <w:t>Authorised Public Accountants</w:t>
      </w:r>
    </w:p>
    <w:p w:rsidR="00E06C4E" w:rsidRPr="00F46410" w:rsidP="00E06C4E" w14:paraId="0E674C1D" w14:textId="77777777">
      <w:pPr>
        <w:pStyle w:val="BodyText"/>
        <w:rPr>
          <w:lang w:val="en-US"/>
        </w:rPr>
      </w:pPr>
    </w:p>
    <w:p w:rsidR="00E06C4E" w:rsidRPr="002D2450" w:rsidP="00E06C4E" w14:paraId="2BDFB846" w14:textId="77777777">
      <w:pPr>
        <w:pStyle w:val="BodyText"/>
        <w:rPr>
          <w:lang w:val="en-US"/>
        </w:rPr>
      </w:pPr>
      <w:r>
        <w:rPr>
          <w:lang w:val="en-US"/>
        </w:rPr>
        <w:t>Merja Lindh</w:t>
      </w:r>
      <w:r w:rsidRPr="002D2450" w:rsidR="00F46410">
        <w:rPr>
          <w:highlight w:val="yellow"/>
          <w:lang w:val="en-US"/>
        </w:rPr>
        <w:br/>
      </w:r>
      <w:r w:rsidRPr="002D2450" w:rsidR="00F46410">
        <w:rPr>
          <w:lang w:val="en-US"/>
        </w:rPr>
        <w:t>Authorised Public Accountant</w:t>
      </w:r>
      <w:r w:rsidRPr="002D2450" w:rsidR="00EE26F5">
        <w:rPr>
          <w:lang w:val="en-US"/>
        </w:rPr>
        <w:t xml:space="preserve"> (KHT)</w:t>
      </w:r>
    </w:p>
    <w:p w:rsidR="00E06C4E" w:rsidRPr="002D2450" w:rsidP="00E06C4E" w14:paraId="40AD10B3" w14:textId="77777777">
      <w:pPr>
        <w:pStyle w:val="BodyText"/>
        <w:rPr>
          <w:lang w:val="en-US"/>
        </w:rPr>
      </w:pPr>
    </w:p>
    <w:p w:rsidR="00F825C5" w:rsidRPr="002D2450" w:rsidP="00E06C4E" w14:paraId="4A667081" w14:textId="77777777">
      <w:pPr>
        <w:pStyle w:val="BodyText"/>
        <w:rPr>
          <w:lang w:val="en-US"/>
        </w:rPr>
      </w:pPr>
    </w:p>
    <w:sectPr w:rsidSect="002B03C3">
      <w:headerReference w:type="even" r:id="rId67"/>
      <w:headerReference w:type="default" r:id="rId68"/>
      <w:footerReference w:type="even" r:id="rId69"/>
      <w:footerReference w:type="default" r:id="rId70"/>
      <w:headerReference w:type="first" r:id="rId71"/>
      <w:footerReference w:type="first" r:id="rId72"/>
      <w:type w:val="continuous"/>
      <w:pgSz w:w="16838" w:h="11906" w:orient="landscape"/>
      <w:pgMar w:top="2304" w:right="734" w:bottom="1253" w:left="734" w:header="720" w:footer="720" w:gutter="0"/>
      <w:pgBorders w:zOrder="front" w:display="allPages" w:offsetFrom="text">
        <w:top w:val="nil"/>
        <w:left w:val="nil"/>
        <w:bottom w:val="nil"/>
        <w:right w:val="nil"/>
      </w:pgBorders>
      <w:cols w:num="2" w:sep="0" w:space="624" w:equalWidth="1"/>
      <w:vAlign w:val="top"/>
      <w:titlePg w:val="0"/>
      <w:rtlGutter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T Std 45 Light">
    <w:altName w:val="Arial"/>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7EB2" w14:paraId="24F23B72" w14:textId="7777777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paraId="05FA21E9" w14:textId="77777777">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7EB2" w14:paraId="24F23B72" w14:textId="7777777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uppressLineNumbers/>
      <w:spacing w:before="0" w:beforeAutospacing="0" w:after="0" w:afterAutospacing="0" w:line="14" w:lineRule="exact"/>
      <w:contextualSpacing/>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uppressLineNumbers/>
      <w:spacing w:before="0" w:beforeAutospacing="0" w:after="0" w:afterAutospacing="0" w:line="14" w:lineRule="exact"/>
      <w:contextualSpacing/>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7EB2" w14:paraId="62AACA0E"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paraId="061A4260"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paraId="061A4260"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paraId="139A06B5" w14:textId="7777777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5483A" w:rsidRPr="00C67EB2" w:rsidP="00B93CC2" w14:paraId="28C675BE" w14:textId="0A978F97">
    <w:pPr>
      <w:pStyle w:val="WNormal"/>
      <w:tabs>
        <w:tab w:val="left" w:pos="0"/>
      </w:tabs>
      <w:jc w:val="right"/>
      <w:rPr>
        <w:color w:val="FF7321"/>
        <w:spacing w:val="40"/>
        <w:sz w:val="18"/>
        <w:lang w:val="en-GB"/>
      </w:rPr>
    </w:pPr>
    <w:r w:rsidRPr="00C67EB2">
      <w:rPr>
        <w:color w:val="0F172B"/>
        <w:spacing w:val="4"/>
        <w:sz w:val="18"/>
        <w:szCs w:val="18"/>
        <w:lang w:val="en-GB"/>
      </w:rPr>
      <w:t>T</w:t>
    </w:r>
    <w:r w:rsidRPr="00C67EB2" w:rsidR="00C67EB2">
      <w:rPr>
        <w:color w:val="0F172B"/>
        <w:spacing w:val="4"/>
        <w:sz w:val="18"/>
        <w:szCs w:val="18"/>
        <w:lang w:val="en-GB"/>
      </w:rPr>
      <w:t xml:space="preserve">his is </w:t>
    </w:r>
    <w:r w:rsidRPr="00C67EB2">
      <w:rPr>
        <w:color w:val="0F172B"/>
        <w:spacing w:val="4"/>
        <w:sz w:val="18"/>
        <w:szCs w:val="18"/>
        <w:lang w:val="en-GB"/>
      </w:rPr>
      <w:t xml:space="preserve">Wärtsilä      /      </w:t>
    </w:r>
    <w:r w:rsidRPr="00C67EB2" w:rsidR="00C67EB2">
      <w:rPr>
        <w:color w:val="0F172B"/>
        <w:spacing w:val="4"/>
        <w:sz w:val="18"/>
        <w:szCs w:val="18"/>
        <w:lang w:val="en-GB"/>
      </w:rPr>
      <w:t>Sustainability</w:t>
    </w:r>
    <w:r w:rsidRPr="00C67EB2">
      <w:rPr>
        <w:color w:val="0F172B"/>
        <w:spacing w:val="4"/>
        <w:sz w:val="18"/>
        <w:szCs w:val="18"/>
        <w:lang w:val="en-GB"/>
      </w:rPr>
      <w:t xml:space="preserve">      /      </w:t>
    </w:r>
    <w:r w:rsidR="00C67EB2">
      <w:rPr>
        <w:color w:val="0F172B"/>
        <w:spacing w:val="4"/>
        <w:sz w:val="18"/>
        <w:szCs w:val="18"/>
        <w:lang w:val="en-GB"/>
      </w:rPr>
      <w:t>Governance</w:t>
    </w:r>
    <w:r w:rsidRPr="00C67EB2">
      <w:rPr>
        <w:color w:val="0F172B"/>
        <w:spacing w:val="4"/>
        <w:sz w:val="18"/>
        <w:szCs w:val="18"/>
        <w:lang w:val="en-GB"/>
      </w:rPr>
      <w:t xml:space="preserve">      /</w:t>
    </w:r>
    <w:r w:rsidRPr="00C67EB2">
      <w:rPr>
        <w:color w:val="auto"/>
        <w:spacing w:val="4"/>
        <w:sz w:val="18"/>
        <w:szCs w:val="18"/>
        <w:lang w:val="en-GB"/>
      </w:rPr>
      <w:t xml:space="preserve">      </w:t>
    </w:r>
    <w:r w:rsidR="00C67EB2">
      <w:rPr>
        <w:color w:val="FF7321"/>
        <w:spacing w:val="4"/>
        <w:sz w:val="18"/>
        <w:szCs w:val="18"/>
        <w:lang w:val="en-GB"/>
      </w:rPr>
      <w:t>F</w:t>
    </w:r>
    <w:r w:rsidRPr="00C67EB2" w:rsidR="00C67EB2">
      <w:rPr>
        <w:color w:val="FF7321"/>
        <w:spacing w:val="4"/>
        <w:sz w:val="18"/>
        <w:szCs w:val="18"/>
        <w:lang w:val="en-GB"/>
      </w:rPr>
      <w:t>inancial review</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782" w:name="_Hlk54870713_4"/>
    <w:bookmarkStart w:id="783" w:name="_Hlk54870714_4"/>
    <w:r>
      <w:rPr>
        <w:color w:val="0F172B"/>
        <w:spacing w:val="4"/>
        <w:sz w:val="18"/>
        <w:szCs w:val="18"/>
        <w:lang w:val="en-GB"/>
      </w:rPr>
      <w:t>This is Wärtsilä      /      Sustainability      /      Governance      /</w:t>
    </w:r>
    <w:r>
      <w:rPr>
        <w:color w:val="auto"/>
        <w:spacing w:val="4"/>
        <w:sz w:val="18"/>
        <w:szCs w:val="18"/>
        <w:lang w:val="en-GB"/>
      </w:rPr>
      <w:t xml:space="preserve">      </w:t>
    </w:r>
    <w:r>
      <w:rPr>
        <w:color w:val="FF7321"/>
        <w:spacing w:val="4"/>
        <w:sz w:val="18"/>
        <w:szCs w:val="18"/>
        <w:lang w:val="en-GB"/>
      </w:rPr>
      <w:t>Financial review</w:t>
    </w:r>
    <w:bookmarkEnd w:id="783"/>
    <w:bookmarkEnd w:id="782"/>
  </w:p>
  <w:p w:rsidR="00C20699" w:rsidRPr="00326EFD" w:rsidP="00326EFD" w14:textId="115C4CFC">
    <w:pPr>
      <w:pStyle w:val="Header"/>
      <w:rPr>
        <w:lang w:val="en-GB"/>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784" w:name="_Hlk54870713_3"/>
    <w:bookmarkStart w:id="785" w:name="_Hlk54870714_3"/>
    <w:r>
      <w:rPr>
        <w:color w:val="0F172B"/>
        <w:spacing w:val="4"/>
        <w:sz w:val="18"/>
        <w:szCs w:val="18"/>
        <w:lang w:val="en-GB"/>
      </w:rPr>
      <w:t>This is Wärtsilä      /      Sustainability      /      Governance      /</w:t>
    </w:r>
    <w:r>
      <w:rPr>
        <w:color w:val="auto"/>
        <w:spacing w:val="4"/>
        <w:sz w:val="18"/>
        <w:szCs w:val="18"/>
        <w:lang w:val="en-GB"/>
      </w:rPr>
      <w:t xml:space="preserve">      </w:t>
    </w:r>
    <w:r>
      <w:rPr>
        <w:color w:val="FF7321"/>
        <w:spacing w:val="4"/>
        <w:sz w:val="18"/>
        <w:szCs w:val="18"/>
        <w:lang w:val="en-GB"/>
      </w:rPr>
      <w:t>Financial review</w:t>
    </w:r>
    <w:bookmarkEnd w:id="785"/>
    <w:bookmarkEnd w:id="784"/>
  </w:p>
  <w:p w:rsidR="00C20699" w:rsidRPr="00326EFD" w:rsidP="00326EFD" w14:textId="115C4CFC">
    <w:pPr>
      <w:pStyle w:val="Header"/>
      <w:rPr>
        <w:lang w:val="en-GB"/>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1127" w:name="_Hlk54870713_6"/>
    <w:bookmarkStart w:id="1128" w:name="_Hlk54870714_6"/>
    <w:r>
      <w:rPr>
        <w:color w:val="0F172B"/>
        <w:spacing w:val="4"/>
        <w:sz w:val="18"/>
        <w:szCs w:val="18"/>
        <w:lang w:val="en-GB"/>
      </w:rPr>
      <w:t>This is Wärtsilä      /      Sustainability      /      Governance      /</w:t>
    </w:r>
    <w:r>
      <w:rPr>
        <w:color w:val="auto"/>
        <w:spacing w:val="4"/>
        <w:sz w:val="18"/>
        <w:szCs w:val="18"/>
        <w:lang w:val="en-GB"/>
      </w:rPr>
      <w:t xml:space="preserve">      </w:t>
    </w:r>
    <w:r>
      <w:rPr>
        <w:color w:val="FF7321"/>
        <w:spacing w:val="4"/>
        <w:sz w:val="18"/>
        <w:szCs w:val="18"/>
        <w:lang w:val="en-GB"/>
      </w:rPr>
      <w:t>Financial review</w:t>
    </w:r>
    <w:bookmarkEnd w:id="1128"/>
    <w:bookmarkEnd w:id="1127"/>
  </w:p>
  <w:p w:rsidR="00C20699" w:rsidRPr="00326EFD" w:rsidP="00326EFD" w14:textId="115C4CFC">
    <w:pPr>
      <w:pStyle w:val="Header"/>
      <w:rPr>
        <w:lang w:val="en-GB"/>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1129" w:name="_Hlk54870713_5"/>
    <w:bookmarkStart w:id="1130" w:name="_Hlk54870714_5"/>
    <w:r>
      <w:rPr>
        <w:color w:val="0F172B"/>
        <w:spacing w:val="4"/>
        <w:sz w:val="18"/>
        <w:szCs w:val="18"/>
        <w:lang w:val="en-GB"/>
      </w:rPr>
      <w:t>This is Wärtsilä      /      Sustainability      /      Governance      /</w:t>
    </w:r>
    <w:r>
      <w:rPr>
        <w:color w:val="auto"/>
        <w:spacing w:val="4"/>
        <w:sz w:val="18"/>
        <w:szCs w:val="18"/>
        <w:lang w:val="en-GB"/>
      </w:rPr>
      <w:t xml:space="preserve">      </w:t>
    </w:r>
    <w:r>
      <w:rPr>
        <w:color w:val="FF7321"/>
        <w:spacing w:val="4"/>
        <w:sz w:val="18"/>
        <w:szCs w:val="18"/>
        <w:lang w:val="en-GB"/>
      </w:rPr>
      <w:t>Financial review</w:t>
    </w:r>
    <w:bookmarkEnd w:id="1130"/>
    <w:bookmarkEnd w:id="1129"/>
  </w:p>
  <w:p w:rsidR="00C20699" w:rsidRPr="00326EFD" w:rsidP="00326EFD" w14:textId="115C4CFC">
    <w:pPr>
      <w:pStyle w:val="Header"/>
      <w:rPr>
        <w:lang w:val="en-GB"/>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paraId="0B4C13DE" w14:textId="7777777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1194" w:name="_Hlk54870713_7"/>
    <w:bookmarkStart w:id="1195" w:name="_Hlk54870714_7"/>
    <w:r>
      <w:rPr>
        <w:color w:val="0F172B"/>
        <w:spacing w:val="4"/>
        <w:sz w:val="18"/>
        <w:szCs w:val="18"/>
        <w:lang w:val="en-GB"/>
      </w:rPr>
      <w:t>This is Wärtsilä      /      Sustainability      /      Governance      /</w:t>
    </w:r>
    <w:r>
      <w:rPr>
        <w:color w:val="auto"/>
        <w:spacing w:val="4"/>
        <w:sz w:val="18"/>
        <w:szCs w:val="18"/>
        <w:lang w:val="en-GB"/>
      </w:rPr>
      <w:t xml:space="preserve">      </w:t>
    </w:r>
    <w:r>
      <w:rPr>
        <w:color w:val="FF7321"/>
        <w:spacing w:val="4"/>
        <w:sz w:val="18"/>
        <w:szCs w:val="18"/>
        <w:lang w:val="en-GB"/>
      </w:rPr>
      <w:t>Financial review</w:t>
    </w:r>
    <w:bookmarkEnd w:id="1195"/>
    <w:bookmarkEnd w:id="1194"/>
  </w:p>
  <w:p w:rsidR="00C20699" w:rsidRPr="00326EFD" w:rsidP="00326EFD" w14:textId="115C4CFC">
    <w:pPr>
      <w:pStyle w:val="Header"/>
      <w:rPr>
        <w:lang w:val="en-GB"/>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5483A" w:rsidRPr="00C67EB2" w:rsidP="00B93CC2" w14:paraId="28C675BE" w14:textId="0A978F97">
    <w:pPr>
      <w:pStyle w:val="WNormal"/>
      <w:tabs>
        <w:tab w:val="left" w:pos="0"/>
      </w:tabs>
      <w:jc w:val="right"/>
      <w:rPr>
        <w:color w:val="FF7321"/>
        <w:spacing w:val="40"/>
        <w:sz w:val="18"/>
        <w:lang w:val="en-GB"/>
      </w:rPr>
    </w:pPr>
    <w:r w:rsidRPr="00C67EB2">
      <w:rPr>
        <w:color w:val="0F172B"/>
        <w:spacing w:val="4"/>
        <w:sz w:val="18"/>
        <w:szCs w:val="18"/>
        <w:lang w:val="en-GB"/>
      </w:rPr>
      <w:t>T</w:t>
    </w:r>
    <w:r w:rsidRPr="00C67EB2" w:rsidR="00C67EB2">
      <w:rPr>
        <w:color w:val="0F172B"/>
        <w:spacing w:val="4"/>
        <w:sz w:val="18"/>
        <w:szCs w:val="18"/>
        <w:lang w:val="en-GB"/>
      </w:rPr>
      <w:t xml:space="preserve">his is </w:t>
    </w:r>
    <w:r w:rsidRPr="00C67EB2">
      <w:rPr>
        <w:color w:val="0F172B"/>
        <w:spacing w:val="4"/>
        <w:sz w:val="18"/>
        <w:szCs w:val="18"/>
        <w:lang w:val="en-GB"/>
      </w:rPr>
      <w:t xml:space="preserve">Wärtsilä      /      </w:t>
    </w:r>
    <w:r w:rsidRPr="00C67EB2" w:rsidR="00C67EB2">
      <w:rPr>
        <w:color w:val="0F172B"/>
        <w:spacing w:val="4"/>
        <w:sz w:val="18"/>
        <w:szCs w:val="18"/>
        <w:lang w:val="en-GB"/>
      </w:rPr>
      <w:t>Sustainability</w:t>
    </w:r>
    <w:r w:rsidRPr="00C67EB2">
      <w:rPr>
        <w:color w:val="0F172B"/>
        <w:spacing w:val="4"/>
        <w:sz w:val="18"/>
        <w:szCs w:val="18"/>
        <w:lang w:val="en-GB"/>
      </w:rPr>
      <w:t xml:space="preserve">      /      </w:t>
    </w:r>
    <w:r w:rsidR="00C67EB2">
      <w:rPr>
        <w:color w:val="0F172B"/>
        <w:spacing w:val="4"/>
        <w:sz w:val="18"/>
        <w:szCs w:val="18"/>
        <w:lang w:val="en-GB"/>
      </w:rPr>
      <w:t>Governance</w:t>
    </w:r>
    <w:r w:rsidRPr="00C67EB2">
      <w:rPr>
        <w:color w:val="0F172B"/>
        <w:spacing w:val="4"/>
        <w:sz w:val="18"/>
        <w:szCs w:val="18"/>
        <w:lang w:val="en-GB"/>
      </w:rPr>
      <w:t xml:space="preserve">      /</w:t>
    </w:r>
    <w:r w:rsidRPr="00C67EB2">
      <w:rPr>
        <w:color w:val="auto"/>
        <w:spacing w:val="4"/>
        <w:sz w:val="18"/>
        <w:szCs w:val="18"/>
        <w:lang w:val="en-GB"/>
      </w:rPr>
      <w:t xml:space="preserve">      </w:t>
    </w:r>
    <w:r w:rsidR="00C67EB2">
      <w:rPr>
        <w:color w:val="FF7321"/>
        <w:spacing w:val="4"/>
        <w:sz w:val="18"/>
        <w:szCs w:val="18"/>
        <w:lang w:val="en-GB"/>
      </w:rPr>
      <w:t>F</w:t>
    </w:r>
    <w:r w:rsidRPr="00C67EB2" w:rsidR="00C67EB2">
      <w:rPr>
        <w:color w:val="FF7321"/>
        <w:spacing w:val="4"/>
        <w:sz w:val="18"/>
        <w:szCs w:val="18"/>
        <w:lang w:val="en-GB"/>
      </w:rPr>
      <w:t>inancial review</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1196" w:name="_Hlk54870713_8"/>
    <w:bookmarkStart w:id="1197" w:name="_Hlk54870714_8"/>
    <w:r>
      <w:rPr>
        <w:color w:val="0F172B"/>
        <w:spacing w:val="4"/>
        <w:sz w:val="18"/>
        <w:szCs w:val="18"/>
        <w:lang w:val="en-GB"/>
      </w:rPr>
      <w:t>This is Wärtsilä      /      Sustainability      /      Governance      /</w:t>
    </w:r>
    <w:r>
      <w:rPr>
        <w:color w:val="auto"/>
        <w:spacing w:val="4"/>
        <w:sz w:val="18"/>
        <w:szCs w:val="18"/>
        <w:lang w:val="en-GB"/>
      </w:rPr>
      <w:t xml:space="preserve">      </w:t>
    </w:r>
    <w:r>
      <w:rPr>
        <w:color w:val="FF7321"/>
        <w:spacing w:val="4"/>
        <w:sz w:val="18"/>
        <w:szCs w:val="18"/>
        <w:lang w:val="en-GB"/>
      </w:rPr>
      <w:t>Financial review</w:t>
    </w:r>
    <w:bookmarkEnd w:id="1197"/>
    <w:bookmarkEnd w:id="1196"/>
  </w:p>
  <w:p w:rsidR="00C20699" w:rsidRPr="00326EFD" w:rsidP="00326EFD" w14:textId="115C4CFC">
    <w:pPr>
      <w:pStyle w:val="Header"/>
      <w:rPr>
        <w:lang w:val="en-GB"/>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1232" w:name="_Hlk54870713_10"/>
    <w:bookmarkStart w:id="1233" w:name="_Hlk54870714_10"/>
    <w:r>
      <w:rPr>
        <w:color w:val="0F172B"/>
        <w:spacing w:val="4"/>
        <w:sz w:val="18"/>
        <w:szCs w:val="18"/>
        <w:lang w:val="en-GB"/>
      </w:rPr>
      <w:t xml:space="preserve">This is Wärtsilä      /      Sustainability      /      </w:t>
    </w:r>
    <w:r>
      <w:rPr>
        <w:color w:val="0F172B"/>
        <w:spacing w:val="4"/>
        <w:sz w:val="18"/>
        <w:szCs w:val="18"/>
        <w:lang w:val="en-GB"/>
      </w:rPr>
      <w:t>Governance      /</w:t>
    </w:r>
    <w:r>
      <w:rPr>
        <w:color w:val="auto"/>
        <w:spacing w:val="4"/>
        <w:sz w:val="18"/>
        <w:szCs w:val="18"/>
        <w:lang w:val="en-GB"/>
      </w:rPr>
      <w:t xml:space="preserve">      </w:t>
    </w:r>
    <w:r>
      <w:rPr>
        <w:color w:val="FF7321"/>
        <w:spacing w:val="4"/>
        <w:sz w:val="18"/>
        <w:szCs w:val="18"/>
        <w:lang w:val="en-GB"/>
      </w:rPr>
      <w:t>Financial review</w:t>
    </w:r>
    <w:bookmarkEnd w:id="1233"/>
    <w:bookmarkEnd w:id="1232"/>
  </w:p>
  <w:p w:rsidR="00C20699" w:rsidRPr="00326EFD" w:rsidP="00326EFD" w14:textId="115C4CFC">
    <w:pPr>
      <w:pStyle w:val="Header"/>
      <w:rPr>
        <w:lang w:val="en-GB"/>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1234" w:name="_Hlk54870713_9"/>
    <w:bookmarkStart w:id="1235" w:name="_Hlk54870714_9"/>
    <w:r>
      <w:rPr>
        <w:color w:val="0F172B"/>
        <w:spacing w:val="4"/>
        <w:sz w:val="18"/>
        <w:szCs w:val="18"/>
        <w:lang w:val="en-GB"/>
      </w:rPr>
      <w:t xml:space="preserve">This is Wärtsilä      /      Sustainability      /      </w:t>
    </w:r>
    <w:r>
      <w:rPr>
        <w:color w:val="0F172B"/>
        <w:spacing w:val="4"/>
        <w:sz w:val="18"/>
        <w:szCs w:val="18"/>
        <w:lang w:val="en-GB"/>
      </w:rPr>
      <w:t>Governance      /</w:t>
    </w:r>
    <w:r>
      <w:rPr>
        <w:color w:val="auto"/>
        <w:spacing w:val="4"/>
        <w:sz w:val="18"/>
        <w:szCs w:val="18"/>
        <w:lang w:val="en-GB"/>
      </w:rPr>
      <w:t xml:space="preserve">      </w:t>
    </w:r>
    <w:r>
      <w:rPr>
        <w:color w:val="FF7321"/>
        <w:spacing w:val="4"/>
        <w:sz w:val="18"/>
        <w:szCs w:val="18"/>
        <w:lang w:val="en-GB"/>
      </w:rPr>
      <w:t>Financial review</w:t>
    </w:r>
    <w:bookmarkEnd w:id="1235"/>
    <w:bookmarkEnd w:id="1234"/>
  </w:p>
  <w:p w:rsidR="00C20699" w:rsidRPr="00326EFD" w:rsidP="00326EFD" w14:textId="115C4CFC">
    <w:pPr>
      <w:pStyle w:val="Header"/>
      <w:rPr>
        <w:lang w:val="en-GB"/>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pPr w:leftFromText="180" w:rightFromText="180" w:vertAnchor="page" w:horzAnchor="page" w:tblpX="5511" w:tblpY="1036"/>
      <w:tblW w:w="3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11"/>
      <w:gridCol w:w="1024"/>
    </w:tblGrid>
    <w:tr w14:paraId="071989A2" w14:textId="77777777" w:rsidTr="008B432D">
      <w:tblPrEx>
        <w:tblW w:w="3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2711" w:type="dxa"/>
          <w:vAlign w:val="center"/>
        </w:tcPr>
        <w:p w:rsidR="008B432D" w:rsidP="008B432D" w14:paraId="030CAD27" w14:textId="77777777">
          <w:pPr>
            <w:pStyle w:val="Header"/>
            <w:numPr>
              <w:ilvl w:val="0"/>
              <w:numId w:val="0"/>
            </w:numPr>
            <w:rPr>
              <w:rFonts w:ascii="Georgia" w:eastAsia="Arial" w:hAnsi="Georgi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vertAlign w:val="baseline"/>
              <w:rtl w:val="0"/>
              <w:cs w:val="0"/>
              <w:lang w:val="en-GB" w:eastAsia="en-US" w:bidi="ar-SA"/>
            </w:rPr>
          </w:pPr>
        </w:p>
      </w:tc>
      <w:tc>
        <w:tcPr>
          <w:tcW w:w="1024" w:type="dxa"/>
          <w:vAlign w:val="center"/>
        </w:tcPr>
        <w:p w:rsidR="008B432D" w:rsidP="008B432D" w14:paraId="185B7162" w14:textId="77777777">
          <w:pPr>
            <w:pStyle w:val="Footer"/>
            <w:numPr>
              <w:ilvl w:val="0"/>
              <w:numId w:val="0"/>
            </w:numPr>
            <w:jc w:val="right"/>
            <w:rPr>
              <w:rFonts w:ascii="Georgia" w:eastAsia="Arial" w:hAnsi="Georgi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vertAlign w:val="baseline"/>
              <w:rtl w:val="0"/>
              <w:cs w:val="0"/>
              <w:lang w:val="en-GB" w:eastAsia="en-US" w:bidi="ar-SA"/>
            </w:rPr>
          </w:pPr>
        </w:p>
      </w:tc>
    </w:tr>
  </w:tbl>
  <w:p w:rsidR="00F825C5" w:rsidRPr="00255C36" w:rsidP="007D64C1" w14:paraId="79C1CBD6" w14:textId="77777777">
    <w:pPr>
      <w:pStyle w:val="Header"/>
      <w:keepNext w:val="0"/>
      <w:keepLines w:val="0"/>
      <w:pageBreakBefore w:val="0"/>
      <w:framePr w:lines="0"/>
      <w:widowControl/>
      <w:numPr>
        <w:ilvl w:val="0"/>
        <w:numId w:val="0"/>
      </w:numPr>
      <w:suppressLineNumbers w:val="0"/>
      <w:pBdr>
        <w:top w:val="nil"/>
        <w:left w:val="nil"/>
        <w:bottom w:val="nil"/>
        <w:right w:val="nil"/>
        <w:between w:val="nil"/>
        <w:bar w:val="nil"/>
      </w:pBdr>
      <w:shd w:val="clear" w:color="auto" w:fill="auto"/>
      <w:suppressAutoHyphens w:val="0"/>
      <w:bidi w:val="0"/>
      <w:spacing w:before="0" w:beforeAutospacing="0" w:after="240" w:afterAutospacing="0" w:line="240" w:lineRule="auto"/>
      <w:ind w:left="0" w:right="0" w:firstLine="0"/>
      <w:contextualSpacing w:val="0"/>
      <w:jc w:val="left"/>
      <w:outlineLvl w:val="9"/>
      <w:rPr>
        <w:rFonts w:ascii="Georgia" w:eastAsia="Arial" w:hAnsi="Georgi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vertAlign w:val="baseline"/>
        <w:rtl w:val="0"/>
        <w:cs w:val="0"/>
        <w:lang w:val="en-GB" w:eastAsia="en-US" w:bidi="ar-SA"/>
      </w:rPr>
    </w:pPr>
    <w:r>
      <w:rPr>
        <w:rFonts w:ascii="Georgia" w:eastAsia="Arial" w:hAnsi="Georgia" w:cs="Times New Roman"/>
        <w:b w:val="0"/>
        <w:bCs w:val="0"/>
        <w:i w:val="0"/>
        <w:iCs w:val="0"/>
        <w:caps w:val="0"/>
        <w:smallCaps w:val="0"/>
        <w:strike w:val="0"/>
        <w:dstrike w:val="0"/>
        <w:outline w:val="0"/>
        <w:shadow w:val="0"/>
        <w:emboss w:val="0"/>
        <w:imprint w:val="0"/>
        <w:noProof/>
        <w:vanish w:val="0"/>
        <w:color w:val="auto"/>
        <w:spacing w:val="0"/>
        <w:w w:val="100"/>
        <w:kern w:val="0"/>
        <w:position w:val="0"/>
        <w:sz w:val="20"/>
        <w:szCs w:val="20"/>
        <w:highlight w:val="none"/>
        <w:u w:val="none"/>
        <w:effect w:val="none"/>
        <w:bdr w:val="nil"/>
        <w:shd w:val="clear" w:color="auto" w:fill="auto"/>
        <w:vertAlign w:val="baseline"/>
        <w:rtl w:val="0"/>
        <w:cs w:val="0"/>
        <w:lang w:val="en-US" w:eastAsia="zh-CN" w:bidi="ar-SA"/>
      </w:rPr>
      <w:drawing>
        <wp:anchor distT="0" distB="0" distL="114300" distR="114300" simplePos="0" relativeHeight="251659264" behindDoc="0" locked="1" layoutInCell="1" allowOverlap="1">
          <wp:simplePos x="0" y="0"/>
          <wp:positionH relativeFrom="page">
            <wp:posOffset>428625</wp:posOffset>
          </wp:positionH>
          <wp:positionV relativeFrom="page">
            <wp:posOffset>205105</wp:posOffset>
          </wp:positionV>
          <wp:extent cx="1409700" cy="1190625"/>
          <wp:effectExtent l="0" t="0" r="0" b="0"/>
          <wp:wrapNone/>
          <wp:docPr id="401562894" name="Picture 3" descr="PwC_fl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660189" name="PwC_fl_c.png"/>
                  <pic:cNvPicPr/>
                </pic:nvPicPr>
                <pic:blipFill>
                  <a:blip xmlns:r="http://schemas.openxmlformats.org/officeDocument/2006/relationships" r:embed="rId1"/>
                  <a:stretch>
                    <a:fillRect/>
                  </a:stretch>
                </pic:blipFill>
                <pic:spPr>
                  <a:xfrm>
                    <a:off x="0" y="0"/>
                    <a:ext cx="1409700" cy="1190625"/>
                  </a:xfrm>
                  <a:prstGeom prst="rect">
                    <a:avLst/>
                  </a:prstGeom>
                </pic:spPr>
              </pic:pic>
            </a:graphicData>
          </a:graphic>
        </wp:anchor>
      </w:drawing>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pPr w:leftFromText="180" w:rightFromText="180" w:vertAnchor="page" w:horzAnchor="page" w:tblpX="5511" w:tblpY="1036"/>
      <w:tblW w:w="3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11"/>
      <w:gridCol w:w="1024"/>
    </w:tblGrid>
    <w:tr w14:paraId="071989A2" w14:textId="77777777" w:rsidTr="008B432D">
      <w:tblPrEx>
        <w:tblW w:w="3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2711" w:type="dxa"/>
          <w:vAlign w:val="center"/>
        </w:tcPr>
        <w:p w:rsidR="008B432D" w:rsidP="008B432D" w14:paraId="030CAD27" w14:textId="77777777">
          <w:pPr>
            <w:pStyle w:val="Header"/>
            <w:numPr>
              <w:ilvl w:val="0"/>
              <w:numId w:val="0"/>
            </w:numPr>
            <w:rPr>
              <w:rFonts w:ascii="Georgia" w:eastAsia="Arial" w:hAnsi="Georgi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vertAlign w:val="baseline"/>
              <w:rtl w:val="0"/>
              <w:cs w:val="0"/>
              <w:lang w:val="en-GB" w:eastAsia="en-US" w:bidi="ar-SA"/>
            </w:rPr>
          </w:pPr>
        </w:p>
      </w:tc>
      <w:tc>
        <w:tcPr>
          <w:tcW w:w="1024" w:type="dxa"/>
          <w:vAlign w:val="center"/>
        </w:tcPr>
        <w:p w:rsidR="008B432D" w:rsidP="008B432D" w14:paraId="185B7162" w14:textId="77777777">
          <w:pPr>
            <w:pStyle w:val="Footer"/>
            <w:numPr>
              <w:ilvl w:val="0"/>
              <w:numId w:val="0"/>
            </w:numPr>
            <w:jc w:val="right"/>
            <w:rPr>
              <w:rFonts w:ascii="Georgia" w:eastAsia="Arial" w:hAnsi="Georgi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vertAlign w:val="baseline"/>
              <w:rtl w:val="0"/>
              <w:cs w:val="0"/>
              <w:lang w:val="en-GB" w:eastAsia="en-US" w:bidi="ar-SA"/>
            </w:rPr>
          </w:pPr>
        </w:p>
      </w:tc>
    </w:tr>
  </w:tbl>
  <w:p w:rsidR="00F825C5" w:rsidRPr="00255C36" w:rsidP="007D64C1" w14:paraId="79C1CBD6" w14:textId="77777777">
    <w:pPr>
      <w:pStyle w:val="Header"/>
      <w:keepNext w:val="0"/>
      <w:keepLines w:val="0"/>
      <w:pageBreakBefore w:val="0"/>
      <w:framePr w:lines="0"/>
      <w:widowControl/>
      <w:numPr>
        <w:ilvl w:val="0"/>
        <w:numId w:val="0"/>
      </w:numPr>
      <w:suppressLineNumbers w:val="0"/>
      <w:pBdr>
        <w:top w:val="nil"/>
        <w:left w:val="nil"/>
        <w:bottom w:val="nil"/>
        <w:right w:val="nil"/>
        <w:between w:val="nil"/>
        <w:bar w:val="nil"/>
      </w:pBdr>
      <w:shd w:val="clear" w:color="auto" w:fill="auto"/>
      <w:suppressAutoHyphens w:val="0"/>
      <w:bidi w:val="0"/>
      <w:spacing w:before="0" w:beforeAutospacing="0" w:after="240" w:afterAutospacing="0" w:line="240" w:lineRule="auto"/>
      <w:ind w:left="0" w:right="0" w:firstLine="0"/>
      <w:contextualSpacing w:val="0"/>
      <w:jc w:val="left"/>
      <w:outlineLvl w:val="9"/>
      <w:rPr>
        <w:rFonts w:ascii="Georgia" w:eastAsia="Arial" w:hAnsi="Georgi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vertAlign w:val="baseline"/>
        <w:rtl w:val="0"/>
        <w:cs w:val="0"/>
        <w:lang w:val="en-GB" w:eastAsia="en-US" w:bidi="ar-SA"/>
      </w:rPr>
    </w:pPr>
    <w:r>
      <w:rPr>
        <w:rFonts w:ascii="Georgia" w:eastAsia="Arial" w:hAnsi="Georgia" w:cs="Times New Roman"/>
        <w:b w:val="0"/>
        <w:bCs w:val="0"/>
        <w:i w:val="0"/>
        <w:iCs w:val="0"/>
        <w:caps w:val="0"/>
        <w:smallCaps w:val="0"/>
        <w:strike w:val="0"/>
        <w:dstrike w:val="0"/>
        <w:outline w:val="0"/>
        <w:shadow w:val="0"/>
        <w:emboss w:val="0"/>
        <w:imprint w:val="0"/>
        <w:noProof/>
        <w:vanish w:val="0"/>
        <w:color w:val="auto"/>
        <w:spacing w:val="0"/>
        <w:w w:val="100"/>
        <w:kern w:val="0"/>
        <w:position w:val="0"/>
        <w:sz w:val="20"/>
        <w:szCs w:val="20"/>
        <w:highlight w:val="none"/>
        <w:u w:val="none"/>
        <w:effect w:val="none"/>
        <w:bdr w:val="nil"/>
        <w:shd w:val="clear" w:color="auto" w:fill="auto"/>
        <w:vertAlign w:val="baseline"/>
        <w:rtl w:val="0"/>
        <w:cs w:val="0"/>
        <w:lang w:val="en-US" w:eastAsia="zh-CN" w:bidi="ar-SA"/>
      </w:rPr>
      <w:drawing>
        <wp:anchor distT="0" distB="0" distL="114300" distR="114300" simplePos="0" relativeHeight="251658240" behindDoc="0" locked="1" layoutInCell="1" allowOverlap="1">
          <wp:simplePos x="0" y="0"/>
          <wp:positionH relativeFrom="page">
            <wp:posOffset>428625</wp:posOffset>
          </wp:positionH>
          <wp:positionV relativeFrom="page">
            <wp:posOffset>205105</wp:posOffset>
          </wp:positionV>
          <wp:extent cx="1409700" cy="1190625"/>
          <wp:effectExtent l="0" t="0" r="0" b="0"/>
          <wp:wrapNone/>
          <wp:docPr id="5" name="Picture 3" descr="PwC_fl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877949" name="PwC_fl_c.png"/>
                  <pic:cNvPicPr/>
                </pic:nvPicPr>
                <pic:blipFill>
                  <a:blip xmlns:r="http://schemas.openxmlformats.org/officeDocument/2006/relationships" r:embed="rId1"/>
                  <a:stretch>
                    <a:fillRect/>
                  </a:stretch>
                </pic:blipFill>
                <pic:spPr>
                  <a:xfrm>
                    <a:off x="0" y="0"/>
                    <a:ext cx="1409700" cy="1190625"/>
                  </a:xfrm>
                  <a:prstGeom prst="rect">
                    <a:avLst/>
                  </a:prstGeom>
                </pic:spPr>
              </pic:pic>
            </a:graphicData>
          </a:graphic>
        </wp:anchor>
      </w:drawing>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7EB2" w14:paraId="3F9ABE8A"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paraId="1D02131A" w14:textId="77777777">
    <w:pPr>
      <w:pStyle w:val="WNormal"/>
      <w:tabs>
        <w:tab w:val="left" w:pos="0"/>
      </w:tabs>
      <w:jc w:val="right"/>
      <w:rPr>
        <w:color w:val="FF7321"/>
        <w:spacing w:val="40"/>
        <w:sz w:val="18"/>
        <w:lang w:val="en-GB"/>
      </w:rPr>
    </w:pPr>
    <w:bookmarkStart w:id="43" w:name="_GoBack"/>
    <w:bookmarkEnd w:id="43"/>
    <w:bookmarkStart w:id="44" w:name="_Hlk54870713_0"/>
    <w:bookmarkStart w:id="45" w:name="_Hlk54870714_0"/>
    <w:r>
      <w:rPr>
        <w:color w:val="0F172B"/>
        <w:spacing w:val="4"/>
        <w:sz w:val="18"/>
        <w:szCs w:val="18"/>
        <w:lang w:val="en-GB"/>
      </w:rPr>
      <w:t>This is Wärtsilä      /      Sustainability      /      Governance      /</w:t>
    </w:r>
    <w:r>
      <w:rPr>
        <w:color w:val="auto"/>
        <w:spacing w:val="4"/>
        <w:sz w:val="18"/>
        <w:szCs w:val="18"/>
        <w:lang w:val="en-GB"/>
      </w:rPr>
      <w:t xml:space="preserve">      </w:t>
    </w:r>
    <w:r>
      <w:rPr>
        <w:color w:val="FF7321"/>
        <w:spacing w:val="4"/>
        <w:sz w:val="18"/>
        <w:szCs w:val="18"/>
        <w:lang w:val="en-GB"/>
      </w:rPr>
      <w:t>Financial review</w:t>
    </w:r>
    <w:bookmarkEnd w:id="45"/>
    <w:bookmarkEnd w:id="44"/>
  </w:p>
  <w:p w:rsidR="00C20699" w:rsidRPr="00326EFD" w:rsidP="00326EFD" w14:paraId="458F08E9" w14:textId="115C4CFC">
    <w:pPr>
      <w:pStyle w:val="Header"/>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paraId="1D02131A" w14:textId="77777777">
    <w:pPr>
      <w:pStyle w:val="WNormal"/>
      <w:tabs>
        <w:tab w:val="left" w:pos="0"/>
      </w:tabs>
      <w:jc w:val="right"/>
      <w:rPr>
        <w:color w:val="FF7321"/>
        <w:spacing w:val="40"/>
        <w:sz w:val="18"/>
        <w:lang w:val="en-GB"/>
      </w:rPr>
    </w:pPr>
    <w:bookmarkStart w:id="46" w:name="_Hlk54870713"/>
    <w:bookmarkStart w:id="47" w:name="_Hlk54870714"/>
    <w:r>
      <w:rPr>
        <w:color w:val="0F172B"/>
        <w:spacing w:val="4"/>
        <w:sz w:val="18"/>
        <w:szCs w:val="18"/>
        <w:lang w:val="en-GB"/>
      </w:rPr>
      <w:t>This is Wärtsilä      /      Sustainability      /      Governance      /</w:t>
    </w:r>
    <w:r>
      <w:rPr>
        <w:color w:val="auto"/>
        <w:spacing w:val="4"/>
        <w:sz w:val="18"/>
        <w:szCs w:val="18"/>
        <w:lang w:val="en-GB"/>
      </w:rPr>
      <w:t xml:space="preserve">      </w:t>
    </w:r>
    <w:r>
      <w:rPr>
        <w:color w:val="FF7321"/>
        <w:spacing w:val="4"/>
        <w:sz w:val="18"/>
        <w:szCs w:val="18"/>
        <w:lang w:val="en-GB"/>
      </w:rPr>
      <w:t>Financial review</w:t>
    </w:r>
    <w:bookmarkEnd w:id="47"/>
    <w:bookmarkEnd w:id="46"/>
  </w:p>
  <w:p w:rsidR="00C20699" w:rsidRPr="00326EFD" w:rsidP="00326EFD" w14:paraId="458F08E9" w14:textId="115C4CFC">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paraId="65F46E33" w14:textId="777777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49" w:name="_Hlk54870713_2"/>
    <w:bookmarkStart w:id="50" w:name="_Hlk54870714_2"/>
    <w:r>
      <w:rPr>
        <w:color w:val="0F172B"/>
        <w:spacing w:val="4"/>
        <w:sz w:val="18"/>
        <w:szCs w:val="18"/>
        <w:lang w:val="en-GB"/>
      </w:rPr>
      <w:t xml:space="preserve">This is Wärtsilä      /  </w:t>
    </w:r>
    <w:r>
      <w:rPr>
        <w:color w:val="0F172B"/>
        <w:spacing w:val="4"/>
        <w:sz w:val="18"/>
        <w:szCs w:val="18"/>
        <w:lang w:val="en-GB"/>
      </w:rPr>
      <w:t xml:space="preserve">    Sustainability      /      Governance      /</w:t>
    </w:r>
    <w:r>
      <w:rPr>
        <w:color w:val="auto"/>
        <w:spacing w:val="4"/>
        <w:sz w:val="18"/>
        <w:szCs w:val="18"/>
        <w:lang w:val="en-GB"/>
      </w:rPr>
      <w:t xml:space="preserve">      </w:t>
    </w:r>
    <w:r>
      <w:rPr>
        <w:color w:val="FF7321"/>
        <w:spacing w:val="4"/>
        <w:sz w:val="18"/>
        <w:szCs w:val="18"/>
        <w:lang w:val="en-GB"/>
      </w:rPr>
      <w:t>Financial review</w:t>
    </w:r>
    <w:bookmarkEnd w:id="50"/>
    <w:bookmarkEnd w:id="49"/>
  </w:p>
  <w:p w:rsidR="00C20699" w:rsidRPr="00326EFD" w:rsidP="00326EFD" w14:textId="115C4CFC">
    <w:pPr>
      <w:pStyle w:val="Header"/>
      <w:rPr>
        <w:lang w:val="en-G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rsidP="00326EFD" w14:textId="77777777">
    <w:pPr>
      <w:pStyle w:val="WNormal"/>
      <w:tabs>
        <w:tab w:val="left" w:pos="0"/>
      </w:tabs>
      <w:jc w:val="right"/>
      <w:rPr>
        <w:color w:val="FF7321"/>
        <w:spacing w:val="40"/>
        <w:sz w:val="18"/>
        <w:lang w:val="en-GB"/>
      </w:rPr>
    </w:pPr>
    <w:bookmarkStart w:id="51" w:name="_Hlk54870713_1"/>
    <w:bookmarkStart w:id="52" w:name="_Hlk54870714_1"/>
    <w:r>
      <w:rPr>
        <w:color w:val="0F172B"/>
        <w:spacing w:val="4"/>
        <w:sz w:val="18"/>
        <w:szCs w:val="18"/>
        <w:lang w:val="en-GB"/>
      </w:rPr>
      <w:t xml:space="preserve">This is Wärtsilä      /  </w:t>
    </w:r>
    <w:r>
      <w:rPr>
        <w:color w:val="0F172B"/>
        <w:spacing w:val="4"/>
        <w:sz w:val="18"/>
        <w:szCs w:val="18"/>
        <w:lang w:val="en-GB"/>
      </w:rPr>
      <w:t xml:space="preserve">    Sustainability      /      Governance      /</w:t>
    </w:r>
    <w:r>
      <w:rPr>
        <w:color w:val="auto"/>
        <w:spacing w:val="4"/>
        <w:sz w:val="18"/>
        <w:szCs w:val="18"/>
        <w:lang w:val="en-GB"/>
      </w:rPr>
      <w:t xml:space="preserve">      </w:t>
    </w:r>
    <w:r>
      <w:rPr>
        <w:color w:val="FF7321"/>
        <w:spacing w:val="4"/>
        <w:sz w:val="18"/>
        <w:szCs w:val="18"/>
        <w:lang w:val="en-GB"/>
      </w:rPr>
      <w:t>Financial review</w:t>
    </w:r>
    <w:bookmarkEnd w:id="52"/>
    <w:bookmarkEnd w:id="51"/>
  </w:p>
  <w:p w:rsidR="00C20699" w:rsidRPr="00326EFD" w:rsidP="00326EFD" w14:textId="115C4CFC">
    <w:pPr>
      <w:pStyle w:val="Header"/>
      <w:rPr>
        <w:lang w:val="en-G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6EF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B31E28"/>
    <w:multiLevelType w:val="hybridMultilevel"/>
    <w:tmpl w:val="498E5E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54B01E7"/>
    <w:multiLevelType w:val="hybridMultilevel"/>
    <w:tmpl w:val="355EB622"/>
    <w:lvl w:ilvl="0">
      <w:start w:val="1"/>
      <w:numFmt w:val="bullet"/>
      <w:lvlText w:val=""/>
      <w:lvlJc w:val="left"/>
      <w:pPr>
        <w:ind w:left="1080" w:hanging="7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1BD20270"/>
    <w:multiLevelType w:val="multilevel"/>
    <w:tmpl w:val="8D86BC78"/>
    <w:styleLink w:val="TableListNumber"/>
    <w:lvl w:ilvl="0">
      <w:start w:val="1"/>
      <w:numFmt w:val="none"/>
      <w:pStyle w:val="TableBody"/>
      <w:suff w:val="nothing"/>
      <w:lvlJc w:val="left"/>
      <w:pPr>
        <w:ind w:left="0" w:firstLine="0"/>
      </w:pPr>
      <w:rPr>
        <w:rFonts w:hint="default"/>
      </w:rPr>
    </w:lvl>
    <w:lvl w:ilvl="1">
      <w:start w:val="1"/>
      <w:numFmt w:val="decimal"/>
      <w:pStyle w:val="TableBodyListNumber"/>
      <w:lvlText w:val="%2"/>
      <w:lvlJc w:val="left"/>
      <w:pPr>
        <w:tabs>
          <w:tab w:val="num" w:pos="397"/>
        </w:tabs>
        <w:ind w:left="397" w:hanging="397"/>
      </w:pPr>
      <w:rPr>
        <w:rFonts w:hint="default"/>
      </w:rPr>
    </w:lvl>
    <w:lvl w:ilvl="2">
      <w:start w:val="1"/>
      <w:numFmt w:val="lowerLetter"/>
      <w:lvlText w:val="%3"/>
      <w:lvlJc w:val="left"/>
      <w:pPr>
        <w:tabs>
          <w:tab w:val="num" w:pos="794"/>
        </w:tabs>
        <w:ind w:left="794" w:hanging="397"/>
      </w:pPr>
      <w:rPr>
        <w:rFonts w:hint="default"/>
      </w:rPr>
    </w:lvl>
    <w:lvl w:ilvl="3">
      <w:start w:val="1"/>
      <w:numFmt w:val="bullet"/>
      <w:lvlText w:val=""/>
      <w:lvlJc w:val="left"/>
      <w:pPr>
        <w:tabs>
          <w:tab w:val="num" w:pos="1191"/>
        </w:tabs>
        <w:ind w:left="1191" w:hanging="397"/>
      </w:pPr>
      <w:rPr>
        <w:rFonts w:ascii="Symbol" w:hAnsi="Symbol" w:hint="default"/>
        <w:color w:val="auto"/>
      </w:rPr>
    </w:lvl>
    <w:lvl w:ilvl="4">
      <w:start w:val="1"/>
      <w:numFmt w:val="none"/>
      <w:lvlJc w:val="left"/>
      <w:pPr>
        <w:tabs>
          <w:tab w:val="num" w:pos="1985"/>
        </w:tabs>
        <w:ind w:left="1985" w:hanging="397"/>
      </w:pPr>
      <w:rPr>
        <w:rFonts w:hint="default"/>
      </w:rPr>
    </w:lvl>
    <w:lvl w:ilvl="5">
      <w:start w:val="1"/>
      <w:numFmt w:val="lowerRoman"/>
      <w:lvlText w:val="(%6)"/>
      <w:lvlJc w:val="left"/>
      <w:pPr>
        <w:tabs>
          <w:tab w:val="num" w:pos="2382"/>
        </w:tabs>
        <w:ind w:left="1985" w:firstLine="0"/>
      </w:pPr>
      <w:rPr>
        <w:rFonts w:hint="default"/>
      </w:rPr>
    </w:lvl>
    <w:lvl w:ilvl="6">
      <w:start w:val="1"/>
      <w:numFmt w:val="decimal"/>
      <w:lvlText w:val="%7."/>
      <w:lvlJc w:val="left"/>
      <w:pPr>
        <w:tabs>
          <w:tab w:val="num" w:pos="2779"/>
        </w:tabs>
        <w:ind w:left="2382" w:firstLine="0"/>
      </w:pPr>
      <w:rPr>
        <w:rFonts w:hint="default"/>
      </w:rPr>
    </w:lvl>
    <w:lvl w:ilvl="7">
      <w:start w:val="1"/>
      <w:numFmt w:val="lowerLetter"/>
      <w:lvlText w:val="%8."/>
      <w:lvlJc w:val="left"/>
      <w:pPr>
        <w:tabs>
          <w:tab w:val="num" w:pos="3176"/>
        </w:tabs>
        <w:ind w:left="2779" w:firstLine="0"/>
      </w:pPr>
      <w:rPr>
        <w:rFonts w:hint="default"/>
      </w:rPr>
    </w:lvl>
    <w:lvl w:ilvl="8">
      <w:start w:val="1"/>
      <w:numFmt w:val="lowerRoman"/>
      <w:lvlText w:val="%9."/>
      <w:lvlJc w:val="left"/>
      <w:pPr>
        <w:tabs>
          <w:tab w:val="num" w:pos="3573"/>
        </w:tabs>
        <w:ind w:left="3176" w:firstLine="0"/>
      </w:pPr>
      <w:rPr>
        <w:rFonts w:hint="default"/>
      </w:rPr>
    </w:lvl>
  </w:abstractNum>
  <w:abstractNum w:abstractNumId="3">
    <w:nsid w:val="28905486"/>
    <w:multiLevelType w:val="multilevel"/>
    <w:tmpl w:val="EB1C10DA"/>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
    <w:nsid w:val="40CC1813"/>
    <w:multiLevelType w:val="multilevel"/>
    <w:tmpl w:val="8D86BC78"/>
    <w:numStyleLink w:val="TableListNumber"/>
  </w:abstractNum>
  <w:abstractNum w:abstractNumId="5">
    <w:nsid w:val="417901F7"/>
    <w:multiLevelType w:val="hybridMultilevel"/>
    <w:tmpl w:val="1B2261EC"/>
    <w:lvl w:ilvl="0">
      <w:start w:val="0"/>
      <w:numFmt w:val="bullet"/>
      <w:lvlText w:val="-"/>
      <w:lvlJc w:val="left"/>
      <w:pPr>
        <w:ind w:left="360" w:hanging="360"/>
      </w:pPr>
      <w:rPr>
        <w:rFonts w:ascii="Calibri" w:hAnsi="Calibri" w:eastAsiaTheme="minorEastAsia" w:cstheme="minorBidi"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
    <w:nsid w:val="50EA5BE4"/>
    <w:multiLevelType w:val="hybridMultilevel"/>
    <w:tmpl w:val="F5E8791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51B42091"/>
    <w:multiLevelType w:val="multilevel"/>
    <w:tmpl w:val="5DA87028"/>
    <w:lvl w:ilvl="0">
      <w:start w:val="1"/>
      <w:numFmt w:val="bullet"/>
      <w:pStyle w:val="TableBodyListBullet"/>
      <w:lvlText w:val=""/>
      <w:lvlJc w:val="left"/>
      <w:pPr>
        <w:tabs>
          <w:tab w:val="num" w:pos="397"/>
        </w:tabs>
        <w:ind w:left="397" w:hanging="397"/>
      </w:pPr>
      <w:rPr>
        <w:rFonts w:ascii="Symbol" w:hAnsi="Symbol" w:hint="default"/>
        <w:color w:val="auto"/>
      </w:rPr>
    </w:lvl>
    <w:lvl w:ilvl="1">
      <w:start w:val="1"/>
      <w:numFmt w:val="bullet"/>
      <w:lvlText w:val="­"/>
      <w:lvlJc w:val="left"/>
      <w:pPr>
        <w:tabs>
          <w:tab w:val="num" w:pos="794"/>
        </w:tabs>
        <w:ind w:left="794" w:hanging="397"/>
      </w:pPr>
      <w:rPr>
        <w:rFonts w:ascii="Courier New" w:hAnsi="Courier New" w:hint="default"/>
        <w:color w:val="44546A" w:themeColor="text2"/>
      </w:rPr>
    </w:lvl>
    <w:lvl w:ilvl="2">
      <w:start w:val="1"/>
      <w:numFmt w:val="bullet"/>
      <w:lvlText w:val="­"/>
      <w:lvlJc w:val="left"/>
      <w:pPr>
        <w:tabs>
          <w:tab w:val="num" w:pos="794"/>
        </w:tabs>
        <w:ind w:left="794" w:hanging="397"/>
      </w:pPr>
      <w:rPr>
        <w:rFonts w:ascii="Courier New" w:hAnsi="Courier New" w:hint="default"/>
        <w:color w:val="auto"/>
      </w:rPr>
    </w:lvl>
    <w:lvl w:ilvl="3">
      <w:start w:val="1"/>
      <w:numFmt w:val="decimal"/>
      <w:lvlText w:val="(%4)"/>
      <w:lvlJc w:val="left"/>
      <w:pPr>
        <w:tabs>
          <w:tab w:val="num" w:pos="1191"/>
        </w:tabs>
        <w:ind w:left="1191"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2"/>
        </w:tabs>
        <w:ind w:left="1985" w:firstLine="0"/>
      </w:pPr>
      <w:rPr>
        <w:rFonts w:hint="default"/>
      </w:rPr>
    </w:lvl>
    <w:lvl w:ilvl="6">
      <w:start w:val="1"/>
      <w:numFmt w:val="decimal"/>
      <w:lvlText w:val="%7."/>
      <w:lvlJc w:val="left"/>
      <w:pPr>
        <w:tabs>
          <w:tab w:val="num" w:pos="2779"/>
        </w:tabs>
        <w:ind w:left="2382" w:firstLine="0"/>
      </w:pPr>
      <w:rPr>
        <w:rFonts w:hint="default"/>
      </w:rPr>
    </w:lvl>
    <w:lvl w:ilvl="7">
      <w:start w:val="1"/>
      <w:numFmt w:val="lowerLetter"/>
      <w:lvlText w:val="%8."/>
      <w:lvlJc w:val="left"/>
      <w:pPr>
        <w:tabs>
          <w:tab w:val="num" w:pos="3176"/>
        </w:tabs>
        <w:ind w:left="2779" w:firstLine="0"/>
      </w:pPr>
      <w:rPr>
        <w:rFonts w:hint="default"/>
      </w:rPr>
    </w:lvl>
    <w:lvl w:ilvl="8">
      <w:start w:val="1"/>
      <w:numFmt w:val="lowerRoman"/>
      <w:lvlText w:val="%9."/>
      <w:lvlJc w:val="left"/>
      <w:pPr>
        <w:tabs>
          <w:tab w:val="num" w:pos="3573"/>
        </w:tabs>
        <w:ind w:left="3176" w:firstLine="0"/>
      </w:pPr>
      <w:rPr>
        <w:rFonts w:hint="default"/>
      </w:rPr>
    </w:lvl>
  </w:abstractNum>
  <w:abstractNum w:abstractNumId="8">
    <w:nsid w:val="627904ED"/>
    <w:multiLevelType w:val="hybridMultilevel"/>
    <w:tmpl w:val="C9C8A992"/>
    <w:lvl w:ilvl="0">
      <w:start w:val="1"/>
      <w:numFmt w:val="bullet"/>
      <w:lvlText w:val="-"/>
      <w:lvlJc w:val="left"/>
      <w:pPr>
        <w:ind w:left="360" w:hanging="360"/>
      </w:pPr>
      <w:rPr>
        <w:rFonts w:ascii="Arial" w:hAnsi="Arial" w:eastAsiaTheme="minorHAnsi"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6"/>
  </w:num>
  <w:num w:numId="2">
    <w:abstractNumId w:val="8"/>
  </w:num>
  <w:num w:numId="3">
    <w:abstractNumId w:val="3"/>
  </w:num>
  <w:num w:numId="4">
    <w:abstractNumId w:val="4"/>
  </w:num>
  <w:num w:numId="5">
    <w:abstractNumId w:val="2"/>
  </w:num>
  <w:num w:numId="6">
    <w:abstractNumId w:val="7"/>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D7D"/>
    <w:rsid w:val="0000003F"/>
    <w:rsid w:val="0000108E"/>
    <w:rsid w:val="000024BE"/>
    <w:rsid w:val="000047D6"/>
    <w:rsid w:val="00005EB7"/>
    <w:rsid w:val="0000647E"/>
    <w:rsid w:val="00015942"/>
    <w:rsid w:val="000207AE"/>
    <w:rsid w:val="00021514"/>
    <w:rsid w:val="00022155"/>
    <w:rsid w:val="0003181F"/>
    <w:rsid w:val="00035173"/>
    <w:rsid w:val="00035397"/>
    <w:rsid w:val="000363BB"/>
    <w:rsid w:val="00037E46"/>
    <w:rsid w:val="0004013D"/>
    <w:rsid w:val="00040A88"/>
    <w:rsid w:val="00040C14"/>
    <w:rsid w:val="00040CC2"/>
    <w:rsid w:val="00041CD2"/>
    <w:rsid w:val="00042C22"/>
    <w:rsid w:val="00044FAC"/>
    <w:rsid w:val="00050751"/>
    <w:rsid w:val="00051B03"/>
    <w:rsid w:val="00052A68"/>
    <w:rsid w:val="000556E1"/>
    <w:rsid w:val="000561CB"/>
    <w:rsid w:val="00056C8C"/>
    <w:rsid w:val="00063888"/>
    <w:rsid w:val="000646BE"/>
    <w:rsid w:val="000646C2"/>
    <w:rsid w:val="000666DA"/>
    <w:rsid w:val="00085B7E"/>
    <w:rsid w:val="00091A0D"/>
    <w:rsid w:val="00094001"/>
    <w:rsid w:val="000A10FB"/>
    <w:rsid w:val="000A1334"/>
    <w:rsid w:val="000A3FFE"/>
    <w:rsid w:val="000B00D3"/>
    <w:rsid w:val="000C4903"/>
    <w:rsid w:val="000C4FD0"/>
    <w:rsid w:val="000C6832"/>
    <w:rsid w:val="000C6BA7"/>
    <w:rsid w:val="000C6E13"/>
    <w:rsid w:val="000D06B1"/>
    <w:rsid w:val="000D09DD"/>
    <w:rsid w:val="000D0C5E"/>
    <w:rsid w:val="000D3ACF"/>
    <w:rsid w:val="000D5468"/>
    <w:rsid w:val="000D6EC7"/>
    <w:rsid w:val="000D79A6"/>
    <w:rsid w:val="000E3E47"/>
    <w:rsid w:val="000F07C1"/>
    <w:rsid w:val="000F1109"/>
    <w:rsid w:val="000F33EA"/>
    <w:rsid w:val="000F5D1B"/>
    <w:rsid w:val="000F74F1"/>
    <w:rsid w:val="00101371"/>
    <w:rsid w:val="0010272A"/>
    <w:rsid w:val="00106A19"/>
    <w:rsid w:val="00106F25"/>
    <w:rsid w:val="001120F1"/>
    <w:rsid w:val="001165D6"/>
    <w:rsid w:val="00117709"/>
    <w:rsid w:val="0012002E"/>
    <w:rsid w:val="00122583"/>
    <w:rsid w:val="001260B2"/>
    <w:rsid w:val="00126558"/>
    <w:rsid w:val="00127E1C"/>
    <w:rsid w:val="001301FB"/>
    <w:rsid w:val="00131FEF"/>
    <w:rsid w:val="001370F3"/>
    <w:rsid w:val="00137ABB"/>
    <w:rsid w:val="00142765"/>
    <w:rsid w:val="00147C77"/>
    <w:rsid w:val="0015012F"/>
    <w:rsid w:val="00150451"/>
    <w:rsid w:val="00151C28"/>
    <w:rsid w:val="00155612"/>
    <w:rsid w:val="001617F3"/>
    <w:rsid w:val="00161BD2"/>
    <w:rsid w:val="0016234A"/>
    <w:rsid w:val="00166AA6"/>
    <w:rsid w:val="00167B0C"/>
    <w:rsid w:val="001730D9"/>
    <w:rsid w:val="0017390C"/>
    <w:rsid w:val="0017686B"/>
    <w:rsid w:val="00176CD8"/>
    <w:rsid w:val="00180B6E"/>
    <w:rsid w:val="00180B96"/>
    <w:rsid w:val="00184773"/>
    <w:rsid w:val="00186FEA"/>
    <w:rsid w:val="001918CC"/>
    <w:rsid w:val="00192F38"/>
    <w:rsid w:val="001933EF"/>
    <w:rsid w:val="00194448"/>
    <w:rsid w:val="001952D3"/>
    <w:rsid w:val="001A2814"/>
    <w:rsid w:val="001A30B3"/>
    <w:rsid w:val="001A4D66"/>
    <w:rsid w:val="001A5711"/>
    <w:rsid w:val="001B7667"/>
    <w:rsid w:val="001C4471"/>
    <w:rsid w:val="001D0A65"/>
    <w:rsid w:val="001D18D5"/>
    <w:rsid w:val="001D18D8"/>
    <w:rsid w:val="001D25F6"/>
    <w:rsid w:val="001D396C"/>
    <w:rsid w:val="001D49D8"/>
    <w:rsid w:val="001D683E"/>
    <w:rsid w:val="001E1C1C"/>
    <w:rsid w:val="001E1DC2"/>
    <w:rsid w:val="001E35C0"/>
    <w:rsid w:val="001F38D8"/>
    <w:rsid w:val="001F5819"/>
    <w:rsid w:val="002003F2"/>
    <w:rsid w:val="00202190"/>
    <w:rsid w:val="00202EE4"/>
    <w:rsid w:val="00203325"/>
    <w:rsid w:val="0020386F"/>
    <w:rsid w:val="00211F4A"/>
    <w:rsid w:val="00216C08"/>
    <w:rsid w:val="002207B9"/>
    <w:rsid w:val="00224CB7"/>
    <w:rsid w:val="00227F40"/>
    <w:rsid w:val="00231CA1"/>
    <w:rsid w:val="00232FC5"/>
    <w:rsid w:val="00237247"/>
    <w:rsid w:val="002478C9"/>
    <w:rsid w:val="00247B1E"/>
    <w:rsid w:val="0025190F"/>
    <w:rsid w:val="00252DF1"/>
    <w:rsid w:val="002541FA"/>
    <w:rsid w:val="00255C36"/>
    <w:rsid w:val="002561EA"/>
    <w:rsid w:val="00257451"/>
    <w:rsid w:val="0026008C"/>
    <w:rsid w:val="00265648"/>
    <w:rsid w:val="00272B7C"/>
    <w:rsid w:val="00272C4B"/>
    <w:rsid w:val="00273260"/>
    <w:rsid w:val="00275232"/>
    <w:rsid w:val="00280C1D"/>
    <w:rsid w:val="002834B3"/>
    <w:rsid w:val="00283B8E"/>
    <w:rsid w:val="0028485C"/>
    <w:rsid w:val="00284DC3"/>
    <w:rsid w:val="00285854"/>
    <w:rsid w:val="002872FC"/>
    <w:rsid w:val="00287B33"/>
    <w:rsid w:val="002930E7"/>
    <w:rsid w:val="002941DE"/>
    <w:rsid w:val="002A056F"/>
    <w:rsid w:val="002A103C"/>
    <w:rsid w:val="002A1B16"/>
    <w:rsid w:val="002A58CB"/>
    <w:rsid w:val="002A6C34"/>
    <w:rsid w:val="002B4EB7"/>
    <w:rsid w:val="002C09EF"/>
    <w:rsid w:val="002C79AE"/>
    <w:rsid w:val="002D2450"/>
    <w:rsid w:val="002D56D5"/>
    <w:rsid w:val="002D612E"/>
    <w:rsid w:val="002E091E"/>
    <w:rsid w:val="002E4648"/>
    <w:rsid w:val="002E582C"/>
    <w:rsid w:val="002E583E"/>
    <w:rsid w:val="002E6E71"/>
    <w:rsid w:val="002F2D46"/>
    <w:rsid w:val="00300011"/>
    <w:rsid w:val="0030010F"/>
    <w:rsid w:val="0030165A"/>
    <w:rsid w:val="00302ACF"/>
    <w:rsid w:val="00304BE0"/>
    <w:rsid w:val="00305DFD"/>
    <w:rsid w:val="00317456"/>
    <w:rsid w:val="00323F20"/>
    <w:rsid w:val="00324119"/>
    <w:rsid w:val="00324C4A"/>
    <w:rsid w:val="00326EFD"/>
    <w:rsid w:val="0033123E"/>
    <w:rsid w:val="0033218B"/>
    <w:rsid w:val="003325DE"/>
    <w:rsid w:val="003331BF"/>
    <w:rsid w:val="00335773"/>
    <w:rsid w:val="003379AB"/>
    <w:rsid w:val="00337B93"/>
    <w:rsid w:val="00342E38"/>
    <w:rsid w:val="00344D28"/>
    <w:rsid w:val="0035012E"/>
    <w:rsid w:val="00351049"/>
    <w:rsid w:val="0035296B"/>
    <w:rsid w:val="00356656"/>
    <w:rsid w:val="00356BA1"/>
    <w:rsid w:val="00364375"/>
    <w:rsid w:val="00365B17"/>
    <w:rsid w:val="00370040"/>
    <w:rsid w:val="00372040"/>
    <w:rsid w:val="003802C7"/>
    <w:rsid w:val="00380440"/>
    <w:rsid w:val="0038059B"/>
    <w:rsid w:val="00380A48"/>
    <w:rsid w:val="003877A7"/>
    <w:rsid w:val="0039314B"/>
    <w:rsid w:val="00394892"/>
    <w:rsid w:val="00397AA5"/>
    <w:rsid w:val="00397C74"/>
    <w:rsid w:val="00397E7D"/>
    <w:rsid w:val="003B2F0C"/>
    <w:rsid w:val="003B573A"/>
    <w:rsid w:val="003B6CC9"/>
    <w:rsid w:val="003B7706"/>
    <w:rsid w:val="003C085D"/>
    <w:rsid w:val="003C229C"/>
    <w:rsid w:val="003C522E"/>
    <w:rsid w:val="003C5DEB"/>
    <w:rsid w:val="003D0890"/>
    <w:rsid w:val="003D5F30"/>
    <w:rsid w:val="003D701D"/>
    <w:rsid w:val="003E32F6"/>
    <w:rsid w:val="003E7096"/>
    <w:rsid w:val="003F31AC"/>
    <w:rsid w:val="003F5A19"/>
    <w:rsid w:val="003F69CD"/>
    <w:rsid w:val="00403AA6"/>
    <w:rsid w:val="004058E6"/>
    <w:rsid w:val="004128E5"/>
    <w:rsid w:val="00413AE2"/>
    <w:rsid w:val="00421902"/>
    <w:rsid w:val="00423DED"/>
    <w:rsid w:val="004318B5"/>
    <w:rsid w:val="00441283"/>
    <w:rsid w:val="0044340E"/>
    <w:rsid w:val="00450910"/>
    <w:rsid w:val="00450C5F"/>
    <w:rsid w:val="00451945"/>
    <w:rsid w:val="004530BC"/>
    <w:rsid w:val="00457BED"/>
    <w:rsid w:val="00457FF7"/>
    <w:rsid w:val="004619B5"/>
    <w:rsid w:val="00464CA9"/>
    <w:rsid w:val="0047121E"/>
    <w:rsid w:val="00472E43"/>
    <w:rsid w:val="00475B1F"/>
    <w:rsid w:val="00475B54"/>
    <w:rsid w:val="00477415"/>
    <w:rsid w:val="004807E1"/>
    <w:rsid w:val="00485D07"/>
    <w:rsid w:val="00486233"/>
    <w:rsid w:val="00497309"/>
    <w:rsid w:val="0049797B"/>
    <w:rsid w:val="004A1391"/>
    <w:rsid w:val="004A461A"/>
    <w:rsid w:val="004A5435"/>
    <w:rsid w:val="004A54F0"/>
    <w:rsid w:val="004A5500"/>
    <w:rsid w:val="004B050E"/>
    <w:rsid w:val="004B1365"/>
    <w:rsid w:val="004B15CD"/>
    <w:rsid w:val="004B441D"/>
    <w:rsid w:val="004B5C32"/>
    <w:rsid w:val="004B60DD"/>
    <w:rsid w:val="004C30D4"/>
    <w:rsid w:val="004C798E"/>
    <w:rsid w:val="004D22E9"/>
    <w:rsid w:val="004E14A3"/>
    <w:rsid w:val="004E4A8F"/>
    <w:rsid w:val="004F4E44"/>
    <w:rsid w:val="004F6AFD"/>
    <w:rsid w:val="005002C1"/>
    <w:rsid w:val="0050038B"/>
    <w:rsid w:val="005019BE"/>
    <w:rsid w:val="005036FA"/>
    <w:rsid w:val="00504C34"/>
    <w:rsid w:val="00504D9B"/>
    <w:rsid w:val="00505394"/>
    <w:rsid w:val="00511D5D"/>
    <w:rsid w:val="005135BC"/>
    <w:rsid w:val="00513F3F"/>
    <w:rsid w:val="00514CB4"/>
    <w:rsid w:val="00515BDF"/>
    <w:rsid w:val="00520D95"/>
    <w:rsid w:val="005245C9"/>
    <w:rsid w:val="00525C29"/>
    <w:rsid w:val="00531D73"/>
    <w:rsid w:val="00532E39"/>
    <w:rsid w:val="00533662"/>
    <w:rsid w:val="00536BC9"/>
    <w:rsid w:val="00540F6F"/>
    <w:rsid w:val="00543D58"/>
    <w:rsid w:val="0054408B"/>
    <w:rsid w:val="00552725"/>
    <w:rsid w:val="0055291E"/>
    <w:rsid w:val="00552E39"/>
    <w:rsid w:val="005545D2"/>
    <w:rsid w:val="0056166A"/>
    <w:rsid w:val="00561A43"/>
    <w:rsid w:val="00562264"/>
    <w:rsid w:val="0056517E"/>
    <w:rsid w:val="00567A42"/>
    <w:rsid w:val="00571367"/>
    <w:rsid w:val="00575998"/>
    <w:rsid w:val="00575BD7"/>
    <w:rsid w:val="00576049"/>
    <w:rsid w:val="00577C31"/>
    <w:rsid w:val="00577CEC"/>
    <w:rsid w:val="0058370B"/>
    <w:rsid w:val="00583982"/>
    <w:rsid w:val="00585FF5"/>
    <w:rsid w:val="00590B7E"/>
    <w:rsid w:val="00591ADC"/>
    <w:rsid w:val="00591C3E"/>
    <w:rsid w:val="0059376E"/>
    <w:rsid w:val="005967F1"/>
    <w:rsid w:val="005A0CD2"/>
    <w:rsid w:val="005A3CAD"/>
    <w:rsid w:val="005A5F23"/>
    <w:rsid w:val="005B5449"/>
    <w:rsid w:val="005C05CC"/>
    <w:rsid w:val="005C5755"/>
    <w:rsid w:val="005D1654"/>
    <w:rsid w:val="005E16F8"/>
    <w:rsid w:val="005E4162"/>
    <w:rsid w:val="005E4FEF"/>
    <w:rsid w:val="005E7F25"/>
    <w:rsid w:val="005F07AF"/>
    <w:rsid w:val="005F07FE"/>
    <w:rsid w:val="005F366E"/>
    <w:rsid w:val="005F647B"/>
    <w:rsid w:val="0060070C"/>
    <w:rsid w:val="00601320"/>
    <w:rsid w:val="00601AAC"/>
    <w:rsid w:val="00601C87"/>
    <w:rsid w:val="006025E7"/>
    <w:rsid w:val="0060329B"/>
    <w:rsid w:val="00603A67"/>
    <w:rsid w:val="00606198"/>
    <w:rsid w:val="00606F15"/>
    <w:rsid w:val="006070B9"/>
    <w:rsid w:val="00613FD9"/>
    <w:rsid w:val="00614AB1"/>
    <w:rsid w:val="00616109"/>
    <w:rsid w:val="00616C46"/>
    <w:rsid w:val="00617761"/>
    <w:rsid w:val="006219D5"/>
    <w:rsid w:val="00623712"/>
    <w:rsid w:val="00624306"/>
    <w:rsid w:val="00627F56"/>
    <w:rsid w:val="00632949"/>
    <w:rsid w:val="00635A61"/>
    <w:rsid w:val="0063775B"/>
    <w:rsid w:val="00640D46"/>
    <w:rsid w:val="006503AB"/>
    <w:rsid w:val="0065079C"/>
    <w:rsid w:val="0066431F"/>
    <w:rsid w:val="0066605E"/>
    <w:rsid w:val="00666923"/>
    <w:rsid w:val="00666999"/>
    <w:rsid w:val="00667B2C"/>
    <w:rsid w:val="006779C0"/>
    <w:rsid w:val="00682DA4"/>
    <w:rsid w:val="00687358"/>
    <w:rsid w:val="00693A60"/>
    <w:rsid w:val="006950D0"/>
    <w:rsid w:val="00695351"/>
    <w:rsid w:val="0069761C"/>
    <w:rsid w:val="006A4395"/>
    <w:rsid w:val="006A4F26"/>
    <w:rsid w:val="006B20E3"/>
    <w:rsid w:val="006B295D"/>
    <w:rsid w:val="006B53B0"/>
    <w:rsid w:val="006B5F73"/>
    <w:rsid w:val="006C16DE"/>
    <w:rsid w:val="006C28E0"/>
    <w:rsid w:val="006C2CD9"/>
    <w:rsid w:val="006C30E9"/>
    <w:rsid w:val="006C36F0"/>
    <w:rsid w:val="006E04CA"/>
    <w:rsid w:val="006E2AD9"/>
    <w:rsid w:val="006E61BB"/>
    <w:rsid w:val="006E6F3B"/>
    <w:rsid w:val="006F074D"/>
    <w:rsid w:val="006F1D83"/>
    <w:rsid w:val="006F674D"/>
    <w:rsid w:val="00703D92"/>
    <w:rsid w:val="007040EF"/>
    <w:rsid w:val="00707F6A"/>
    <w:rsid w:val="00710F03"/>
    <w:rsid w:val="00712F8F"/>
    <w:rsid w:val="007161EE"/>
    <w:rsid w:val="00716BE4"/>
    <w:rsid w:val="00723CCE"/>
    <w:rsid w:val="00725352"/>
    <w:rsid w:val="00725B55"/>
    <w:rsid w:val="00733019"/>
    <w:rsid w:val="007368A0"/>
    <w:rsid w:val="00745CC9"/>
    <w:rsid w:val="00752C86"/>
    <w:rsid w:val="007574FD"/>
    <w:rsid w:val="0076044C"/>
    <w:rsid w:val="0076174B"/>
    <w:rsid w:val="007700F2"/>
    <w:rsid w:val="00770E27"/>
    <w:rsid w:val="00771019"/>
    <w:rsid w:val="00772612"/>
    <w:rsid w:val="00774B54"/>
    <w:rsid w:val="00774DCC"/>
    <w:rsid w:val="00782299"/>
    <w:rsid w:val="00782DBB"/>
    <w:rsid w:val="00785A4E"/>
    <w:rsid w:val="007A070E"/>
    <w:rsid w:val="007A5663"/>
    <w:rsid w:val="007A6516"/>
    <w:rsid w:val="007B0A0B"/>
    <w:rsid w:val="007B611F"/>
    <w:rsid w:val="007B76B4"/>
    <w:rsid w:val="007C1929"/>
    <w:rsid w:val="007C3125"/>
    <w:rsid w:val="007C4F6F"/>
    <w:rsid w:val="007C60CF"/>
    <w:rsid w:val="007C7DD5"/>
    <w:rsid w:val="007D14D7"/>
    <w:rsid w:val="007D3307"/>
    <w:rsid w:val="007D4159"/>
    <w:rsid w:val="007D4246"/>
    <w:rsid w:val="007D64C1"/>
    <w:rsid w:val="007D6DAF"/>
    <w:rsid w:val="007D7E83"/>
    <w:rsid w:val="007E40C5"/>
    <w:rsid w:val="007E471C"/>
    <w:rsid w:val="007E6680"/>
    <w:rsid w:val="007F394E"/>
    <w:rsid w:val="007F47FE"/>
    <w:rsid w:val="007F6EC2"/>
    <w:rsid w:val="00800A23"/>
    <w:rsid w:val="00801273"/>
    <w:rsid w:val="008215C0"/>
    <w:rsid w:val="00821615"/>
    <w:rsid w:val="00827D45"/>
    <w:rsid w:val="00845C61"/>
    <w:rsid w:val="00845F61"/>
    <w:rsid w:val="00850626"/>
    <w:rsid w:val="008625E1"/>
    <w:rsid w:val="00862C1F"/>
    <w:rsid w:val="00862CFB"/>
    <w:rsid w:val="00871A6A"/>
    <w:rsid w:val="008746FF"/>
    <w:rsid w:val="00876964"/>
    <w:rsid w:val="00882FD0"/>
    <w:rsid w:val="00885DDC"/>
    <w:rsid w:val="00890CF0"/>
    <w:rsid w:val="008A3E2E"/>
    <w:rsid w:val="008A5F3F"/>
    <w:rsid w:val="008A7CA0"/>
    <w:rsid w:val="008B432D"/>
    <w:rsid w:val="008B4EC6"/>
    <w:rsid w:val="008C0EDF"/>
    <w:rsid w:val="008C5440"/>
    <w:rsid w:val="008D2B3D"/>
    <w:rsid w:val="008E06D9"/>
    <w:rsid w:val="008E2EDF"/>
    <w:rsid w:val="008E4478"/>
    <w:rsid w:val="008E5C34"/>
    <w:rsid w:val="008E6EAF"/>
    <w:rsid w:val="008F0E88"/>
    <w:rsid w:val="008F2BF9"/>
    <w:rsid w:val="00900AD3"/>
    <w:rsid w:val="00903EA4"/>
    <w:rsid w:val="009046EC"/>
    <w:rsid w:val="009124E4"/>
    <w:rsid w:val="00917946"/>
    <w:rsid w:val="00921DAE"/>
    <w:rsid w:val="009271B0"/>
    <w:rsid w:val="009275CE"/>
    <w:rsid w:val="00927EF6"/>
    <w:rsid w:val="00934CA2"/>
    <w:rsid w:val="00935C62"/>
    <w:rsid w:val="00941951"/>
    <w:rsid w:val="00941A53"/>
    <w:rsid w:val="009450DE"/>
    <w:rsid w:val="009509FE"/>
    <w:rsid w:val="0095400D"/>
    <w:rsid w:val="00954FA1"/>
    <w:rsid w:val="009575E4"/>
    <w:rsid w:val="00957A4E"/>
    <w:rsid w:val="0096005C"/>
    <w:rsid w:val="00961CCD"/>
    <w:rsid w:val="009634ED"/>
    <w:rsid w:val="0096419A"/>
    <w:rsid w:val="00966827"/>
    <w:rsid w:val="00967DC8"/>
    <w:rsid w:val="0097375A"/>
    <w:rsid w:val="00974921"/>
    <w:rsid w:val="00974ADA"/>
    <w:rsid w:val="00977BA3"/>
    <w:rsid w:val="00977D3D"/>
    <w:rsid w:val="00983418"/>
    <w:rsid w:val="0098362E"/>
    <w:rsid w:val="00984441"/>
    <w:rsid w:val="00984CDF"/>
    <w:rsid w:val="00993588"/>
    <w:rsid w:val="009A6F36"/>
    <w:rsid w:val="009A73FB"/>
    <w:rsid w:val="009A7631"/>
    <w:rsid w:val="009B0F5E"/>
    <w:rsid w:val="009D0396"/>
    <w:rsid w:val="009D167B"/>
    <w:rsid w:val="009D3817"/>
    <w:rsid w:val="009D409B"/>
    <w:rsid w:val="009D5A4F"/>
    <w:rsid w:val="009D6B49"/>
    <w:rsid w:val="009E1B7F"/>
    <w:rsid w:val="009E2DB5"/>
    <w:rsid w:val="009E3C51"/>
    <w:rsid w:val="009E57EC"/>
    <w:rsid w:val="009E621F"/>
    <w:rsid w:val="009F3B4C"/>
    <w:rsid w:val="009F5FE3"/>
    <w:rsid w:val="00A009B4"/>
    <w:rsid w:val="00A0126B"/>
    <w:rsid w:val="00A01D0B"/>
    <w:rsid w:val="00A054E2"/>
    <w:rsid w:val="00A059AF"/>
    <w:rsid w:val="00A05CCB"/>
    <w:rsid w:val="00A07F4C"/>
    <w:rsid w:val="00A10062"/>
    <w:rsid w:val="00A123B1"/>
    <w:rsid w:val="00A142A9"/>
    <w:rsid w:val="00A16DE8"/>
    <w:rsid w:val="00A207BD"/>
    <w:rsid w:val="00A26504"/>
    <w:rsid w:val="00A31267"/>
    <w:rsid w:val="00A34DF5"/>
    <w:rsid w:val="00A34EF0"/>
    <w:rsid w:val="00A3603D"/>
    <w:rsid w:val="00A42822"/>
    <w:rsid w:val="00A42CC5"/>
    <w:rsid w:val="00A44DD8"/>
    <w:rsid w:val="00A50D3F"/>
    <w:rsid w:val="00A526E2"/>
    <w:rsid w:val="00A52DF3"/>
    <w:rsid w:val="00A53AA9"/>
    <w:rsid w:val="00A54E90"/>
    <w:rsid w:val="00A62744"/>
    <w:rsid w:val="00A63537"/>
    <w:rsid w:val="00A70169"/>
    <w:rsid w:val="00A70A83"/>
    <w:rsid w:val="00A762E5"/>
    <w:rsid w:val="00A762EA"/>
    <w:rsid w:val="00A93858"/>
    <w:rsid w:val="00A94951"/>
    <w:rsid w:val="00A96469"/>
    <w:rsid w:val="00AA093D"/>
    <w:rsid w:val="00AA1270"/>
    <w:rsid w:val="00AA3755"/>
    <w:rsid w:val="00AA52C5"/>
    <w:rsid w:val="00AA558F"/>
    <w:rsid w:val="00AA61FB"/>
    <w:rsid w:val="00AA6CDC"/>
    <w:rsid w:val="00AB0EAF"/>
    <w:rsid w:val="00AC6497"/>
    <w:rsid w:val="00AD18E9"/>
    <w:rsid w:val="00AD46BC"/>
    <w:rsid w:val="00AD55D7"/>
    <w:rsid w:val="00AD62D8"/>
    <w:rsid w:val="00AF0214"/>
    <w:rsid w:val="00AF6566"/>
    <w:rsid w:val="00B0005B"/>
    <w:rsid w:val="00B000E2"/>
    <w:rsid w:val="00B00CE3"/>
    <w:rsid w:val="00B04FCD"/>
    <w:rsid w:val="00B06093"/>
    <w:rsid w:val="00B107B3"/>
    <w:rsid w:val="00B1190B"/>
    <w:rsid w:val="00B14CC9"/>
    <w:rsid w:val="00B151A2"/>
    <w:rsid w:val="00B25906"/>
    <w:rsid w:val="00B3056E"/>
    <w:rsid w:val="00B30C58"/>
    <w:rsid w:val="00B3292E"/>
    <w:rsid w:val="00B33C25"/>
    <w:rsid w:val="00B3422D"/>
    <w:rsid w:val="00B357B9"/>
    <w:rsid w:val="00B35C51"/>
    <w:rsid w:val="00B425AF"/>
    <w:rsid w:val="00B4426B"/>
    <w:rsid w:val="00B44B4D"/>
    <w:rsid w:val="00B45B52"/>
    <w:rsid w:val="00B45E4B"/>
    <w:rsid w:val="00B53A37"/>
    <w:rsid w:val="00B5483A"/>
    <w:rsid w:val="00B56701"/>
    <w:rsid w:val="00B575A5"/>
    <w:rsid w:val="00B645E9"/>
    <w:rsid w:val="00B67078"/>
    <w:rsid w:val="00B70FD2"/>
    <w:rsid w:val="00B73DA5"/>
    <w:rsid w:val="00B75734"/>
    <w:rsid w:val="00B81D1D"/>
    <w:rsid w:val="00B852C7"/>
    <w:rsid w:val="00B878CE"/>
    <w:rsid w:val="00B878ED"/>
    <w:rsid w:val="00B87E0F"/>
    <w:rsid w:val="00B907F5"/>
    <w:rsid w:val="00B91B7E"/>
    <w:rsid w:val="00B93CC2"/>
    <w:rsid w:val="00B93D3E"/>
    <w:rsid w:val="00BA08C3"/>
    <w:rsid w:val="00BA14A7"/>
    <w:rsid w:val="00BA38AE"/>
    <w:rsid w:val="00BB09E0"/>
    <w:rsid w:val="00BB42A5"/>
    <w:rsid w:val="00BB74EA"/>
    <w:rsid w:val="00BC1BF2"/>
    <w:rsid w:val="00BC31BF"/>
    <w:rsid w:val="00BC3E45"/>
    <w:rsid w:val="00BD0D18"/>
    <w:rsid w:val="00BE13D9"/>
    <w:rsid w:val="00BE4DA7"/>
    <w:rsid w:val="00BF1DEC"/>
    <w:rsid w:val="00BF3E3E"/>
    <w:rsid w:val="00BF4166"/>
    <w:rsid w:val="00BF4DB4"/>
    <w:rsid w:val="00C00A06"/>
    <w:rsid w:val="00C06871"/>
    <w:rsid w:val="00C12360"/>
    <w:rsid w:val="00C20699"/>
    <w:rsid w:val="00C26206"/>
    <w:rsid w:val="00C26C4F"/>
    <w:rsid w:val="00C30EF9"/>
    <w:rsid w:val="00C36EC1"/>
    <w:rsid w:val="00C42653"/>
    <w:rsid w:val="00C4573C"/>
    <w:rsid w:val="00C509F6"/>
    <w:rsid w:val="00C516CB"/>
    <w:rsid w:val="00C57629"/>
    <w:rsid w:val="00C67EB2"/>
    <w:rsid w:val="00C769C8"/>
    <w:rsid w:val="00C7724D"/>
    <w:rsid w:val="00C82F26"/>
    <w:rsid w:val="00C84DD0"/>
    <w:rsid w:val="00C9270D"/>
    <w:rsid w:val="00C938F6"/>
    <w:rsid w:val="00C943B0"/>
    <w:rsid w:val="00C945D0"/>
    <w:rsid w:val="00CA3C60"/>
    <w:rsid w:val="00CA4BCD"/>
    <w:rsid w:val="00CA53A8"/>
    <w:rsid w:val="00CA5894"/>
    <w:rsid w:val="00CA5B67"/>
    <w:rsid w:val="00CA6E81"/>
    <w:rsid w:val="00CA7465"/>
    <w:rsid w:val="00CB2A93"/>
    <w:rsid w:val="00CB4B31"/>
    <w:rsid w:val="00CB73BF"/>
    <w:rsid w:val="00CB755F"/>
    <w:rsid w:val="00CC289E"/>
    <w:rsid w:val="00CC2D86"/>
    <w:rsid w:val="00CC7946"/>
    <w:rsid w:val="00CD1092"/>
    <w:rsid w:val="00CE381E"/>
    <w:rsid w:val="00CE6A42"/>
    <w:rsid w:val="00CF2E41"/>
    <w:rsid w:val="00CF5E4D"/>
    <w:rsid w:val="00D001AD"/>
    <w:rsid w:val="00D01C1F"/>
    <w:rsid w:val="00D0245C"/>
    <w:rsid w:val="00D02B8D"/>
    <w:rsid w:val="00D04B16"/>
    <w:rsid w:val="00D0748B"/>
    <w:rsid w:val="00D1012D"/>
    <w:rsid w:val="00D122BE"/>
    <w:rsid w:val="00D13DCB"/>
    <w:rsid w:val="00D15063"/>
    <w:rsid w:val="00D22D7D"/>
    <w:rsid w:val="00D22E9C"/>
    <w:rsid w:val="00D27C4E"/>
    <w:rsid w:val="00D3472C"/>
    <w:rsid w:val="00D3559C"/>
    <w:rsid w:val="00D37CFA"/>
    <w:rsid w:val="00D40C99"/>
    <w:rsid w:val="00D4450B"/>
    <w:rsid w:val="00D46C68"/>
    <w:rsid w:val="00D47F53"/>
    <w:rsid w:val="00D50E6B"/>
    <w:rsid w:val="00D50EA2"/>
    <w:rsid w:val="00D515C4"/>
    <w:rsid w:val="00D523D6"/>
    <w:rsid w:val="00D559D4"/>
    <w:rsid w:val="00D56CB4"/>
    <w:rsid w:val="00D56E97"/>
    <w:rsid w:val="00D5737C"/>
    <w:rsid w:val="00D576D3"/>
    <w:rsid w:val="00D607C5"/>
    <w:rsid w:val="00D65049"/>
    <w:rsid w:val="00D704F6"/>
    <w:rsid w:val="00D85C65"/>
    <w:rsid w:val="00D92D57"/>
    <w:rsid w:val="00D9472F"/>
    <w:rsid w:val="00D969ED"/>
    <w:rsid w:val="00DA07B0"/>
    <w:rsid w:val="00DA38BD"/>
    <w:rsid w:val="00DA6D3E"/>
    <w:rsid w:val="00DB1E3E"/>
    <w:rsid w:val="00DB2E9E"/>
    <w:rsid w:val="00DB554F"/>
    <w:rsid w:val="00DC022F"/>
    <w:rsid w:val="00DC3F03"/>
    <w:rsid w:val="00DC6DCA"/>
    <w:rsid w:val="00DD73C4"/>
    <w:rsid w:val="00DE0553"/>
    <w:rsid w:val="00DE4CDC"/>
    <w:rsid w:val="00DE5DBB"/>
    <w:rsid w:val="00DE5F5C"/>
    <w:rsid w:val="00DE6E5A"/>
    <w:rsid w:val="00DE7E66"/>
    <w:rsid w:val="00DF3141"/>
    <w:rsid w:val="00DF350D"/>
    <w:rsid w:val="00E0053B"/>
    <w:rsid w:val="00E06C4E"/>
    <w:rsid w:val="00E07396"/>
    <w:rsid w:val="00E2052E"/>
    <w:rsid w:val="00E21892"/>
    <w:rsid w:val="00E24875"/>
    <w:rsid w:val="00E31E0C"/>
    <w:rsid w:val="00E34EA2"/>
    <w:rsid w:val="00E41A70"/>
    <w:rsid w:val="00E42FDF"/>
    <w:rsid w:val="00E541C3"/>
    <w:rsid w:val="00E54A28"/>
    <w:rsid w:val="00E55EB6"/>
    <w:rsid w:val="00E57F50"/>
    <w:rsid w:val="00E61F91"/>
    <w:rsid w:val="00E63364"/>
    <w:rsid w:val="00E6558C"/>
    <w:rsid w:val="00E70BC4"/>
    <w:rsid w:val="00E72091"/>
    <w:rsid w:val="00E7228D"/>
    <w:rsid w:val="00E75286"/>
    <w:rsid w:val="00E753BC"/>
    <w:rsid w:val="00E7743D"/>
    <w:rsid w:val="00E77793"/>
    <w:rsid w:val="00E825DA"/>
    <w:rsid w:val="00E827CB"/>
    <w:rsid w:val="00E85FC4"/>
    <w:rsid w:val="00E90BB0"/>
    <w:rsid w:val="00E92C5C"/>
    <w:rsid w:val="00E930DF"/>
    <w:rsid w:val="00E95B43"/>
    <w:rsid w:val="00E9658F"/>
    <w:rsid w:val="00EA1C4A"/>
    <w:rsid w:val="00EA39E6"/>
    <w:rsid w:val="00EB089B"/>
    <w:rsid w:val="00EB3D71"/>
    <w:rsid w:val="00EB4A67"/>
    <w:rsid w:val="00EB6132"/>
    <w:rsid w:val="00EB6285"/>
    <w:rsid w:val="00EB6574"/>
    <w:rsid w:val="00EC5812"/>
    <w:rsid w:val="00EC6BDA"/>
    <w:rsid w:val="00EC7DB0"/>
    <w:rsid w:val="00ED4CD5"/>
    <w:rsid w:val="00ED6B56"/>
    <w:rsid w:val="00EE19C7"/>
    <w:rsid w:val="00EE26F5"/>
    <w:rsid w:val="00EE2838"/>
    <w:rsid w:val="00EE4A7E"/>
    <w:rsid w:val="00EF0384"/>
    <w:rsid w:val="00EF08D8"/>
    <w:rsid w:val="00EF34FD"/>
    <w:rsid w:val="00EF4467"/>
    <w:rsid w:val="00EF49B8"/>
    <w:rsid w:val="00EF6F8D"/>
    <w:rsid w:val="00F00884"/>
    <w:rsid w:val="00F05ECB"/>
    <w:rsid w:val="00F128B6"/>
    <w:rsid w:val="00F1352E"/>
    <w:rsid w:val="00F169F0"/>
    <w:rsid w:val="00F17E50"/>
    <w:rsid w:val="00F215DD"/>
    <w:rsid w:val="00F21934"/>
    <w:rsid w:val="00F24723"/>
    <w:rsid w:val="00F32CE0"/>
    <w:rsid w:val="00F37112"/>
    <w:rsid w:val="00F41BFE"/>
    <w:rsid w:val="00F45DB3"/>
    <w:rsid w:val="00F46410"/>
    <w:rsid w:val="00F472E2"/>
    <w:rsid w:val="00F47EE8"/>
    <w:rsid w:val="00F56980"/>
    <w:rsid w:val="00F605EA"/>
    <w:rsid w:val="00F64224"/>
    <w:rsid w:val="00F66F00"/>
    <w:rsid w:val="00F714BD"/>
    <w:rsid w:val="00F727BA"/>
    <w:rsid w:val="00F753FD"/>
    <w:rsid w:val="00F80E99"/>
    <w:rsid w:val="00F81A47"/>
    <w:rsid w:val="00F825C5"/>
    <w:rsid w:val="00F828C3"/>
    <w:rsid w:val="00F82C1B"/>
    <w:rsid w:val="00F869DC"/>
    <w:rsid w:val="00F9199E"/>
    <w:rsid w:val="00F92FBA"/>
    <w:rsid w:val="00F93E8D"/>
    <w:rsid w:val="00FA358C"/>
    <w:rsid w:val="00FA5DCE"/>
    <w:rsid w:val="00FA7EA1"/>
    <w:rsid w:val="00FB0A08"/>
    <w:rsid w:val="00FB3324"/>
    <w:rsid w:val="00FB4D9C"/>
    <w:rsid w:val="00FC5DE1"/>
    <w:rsid w:val="00FC70A9"/>
    <w:rsid w:val="00FD1A2E"/>
    <w:rsid w:val="00FD200E"/>
    <w:rsid w:val="00FD48C8"/>
    <w:rsid w:val="00FD7763"/>
    <w:rsid w:val="00FE49B3"/>
    <w:rsid w:val="00FF12E6"/>
  </w:rsids>
  <w:docVars>
    <w:docVar w:name="APWAFVersion" w:val="5.0"/>
  </w:docVars>
  <m:mathPr>
    <m:mathFont m:val="Cambria Math"/>
  </m:mathPr>
  <w:themeFontLang w:val="en-US" w:bidi="as-IN"/>
  <w:clrSchemeMapping w:bg1="light1" w:t1="dark1" w:bg2="light2" w:t2="dark2" w:accent1="accent1" w:accent2="accent2" w:accent3="accent3" w:accent4="accent4" w:accent5="accent5" w:accent6="accent6" w:hyperlink="hyperlink" w:followedHyperlink="followedHyperlink"/>
  <w15:chartTrackingRefBased/>
  <w15:docId w15:val="{FF3F3734-5D5E-4F8B-9623-BF5985E85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W_HEADING2_"/>
    <w:basedOn w:val="WNormal"/>
    <w:next w:val="Normal"/>
    <w:link w:val="DefaultParagraphFont"/>
    <w:uiPriority w:val="9"/>
    <w:unhideWhenUsed/>
    <w:qFormat/>
    <w:rsid w:val="00A142A9"/>
    <w:pPr>
      <w:spacing w:after="20" w:line="276" w:lineRule="auto"/>
      <w:outlineLvl w:val="1"/>
    </w:pPr>
    <w:rPr>
      <w:b/>
      <w:bCs/>
      <w:caps/>
      <w:color w:val="0F172B"/>
      <w:sz w:val="20"/>
      <w:szCs w:val="20"/>
      <w:lang w:val="en-GB"/>
    </w:rPr>
  </w:style>
  <w:style w:type="paragraph" w:styleId="Heading3">
    <w:name w:val="heading 3"/>
    <w:next w:val="Normal"/>
    <w:link w:val="Heading3Char"/>
    <w:uiPriority w:val="9"/>
    <w:unhideWhenUsed/>
    <w:qFormat/>
    <w:rsid w:val="004A461A"/>
    <w:pPr>
      <w:spacing w:after="20" w:line="276" w:lineRule="auto"/>
      <w:outlineLvl w:val="2"/>
    </w:pPr>
    <w:rPr>
      <w:rFonts w:ascii="Arial" w:hAnsi="Arial" w:cs="Arial"/>
      <w:b/>
      <w:bCs/>
      <w:color w:val="0F172B"/>
      <w:spacing w:val="4"/>
      <w:sz w:val="17"/>
      <w:szCs w:val="17"/>
      <w:lang w:val="en-GB"/>
    </w:rPr>
  </w:style>
  <w:style w:type="paragraph" w:styleId="Heading4">
    <w:name w:val="heading 4"/>
    <w:next w:val="Normal"/>
    <w:link w:val="Heading4Char"/>
    <w:uiPriority w:val="9"/>
    <w:unhideWhenUsed/>
    <w:qFormat/>
    <w:rsid w:val="00EF6F8D"/>
    <w:pPr>
      <w:spacing w:before="80" w:after="20" w:line="276" w:lineRule="auto"/>
      <w:outlineLvl w:val="3"/>
    </w:pPr>
    <w:rPr>
      <w:rFonts w:ascii="Arial" w:eastAsia="Calibri" w:hAnsi="Arial" w:cs="Arial"/>
      <w:b/>
      <w:bCs/>
      <w:color w:val="0F172B"/>
      <w:spacing w:val="4"/>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Normal">
    <w:name w:val="W_Normal"/>
    <w:qFormat/>
    <w:rsid w:val="0026008C"/>
    <w:rPr>
      <w:rFonts w:ascii="Arial" w:hAnsi="Arial" w:cs="Arial"/>
      <w:color w:val="111111"/>
      <w:sz w:val="16"/>
      <w:szCs w:val="16"/>
      <w:lang w:val="fi-FI"/>
    </w:rPr>
  </w:style>
  <w:style w:type="paragraph" w:styleId="Title">
    <w:name w:val="Title"/>
    <w:aliases w:val="W_Heading_1"/>
    <w:basedOn w:val="WNormal"/>
    <w:next w:val="Normal"/>
    <w:link w:val="DefaultParagraphFont"/>
    <w:uiPriority w:val="10"/>
    <w:qFormat/>
    <w:rsid w:val="00284DC3"/>
    <w:pPr>
      <w:spacing w:after="360" w:line="276" w:lineRule="auto"/>
    </w:pPr>
    <w:rPr>
      <w:b/>
      <w:bCs/>
      <w:color w:val="0F172B"/>
      <w:spacing w:val="-8"/>
      <w:sz w:val="40"/>
      <w:szCs w:val="40"/>
      <w:lang w:val="en-GB"/>
    </w:rPr>
  </w:style>
  <w:style w:type="paragraph" w:styleId="Footer">
    <w:name w:val="footer"/>
    <w:basedOn w:val="Normal"/>
    <w:link w:val="FooterChar"/>
    <w:uiPriority w:val="99"/>
    <w:unhideWhenUsed/>
    <w:rsid w:val="00B548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483A"/>
  </w:style>
  <w:style w:type="paragraph" w:styleId="Header">
    <w:name w:val="header"/>
    <w:basedOn w:val="Normal"/>
    <w:link w:val="HeaderChar"/>
    <w:uiPriority w:val="99"/>
    <w:unhideWhenUsed/>
    <w:rsid w:val="00B548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483A"/>
  </w:style>
  <w:style w:type="paragraph" w:customStyle="1" w:styleId="WHeading4">
    <w:name w:val="W_Heading_4"/>
    <w:qFormat/>
    <w:rsid w:val="009271B0"/>
    <w:pPr>
      <w:spacing w:before="80" w:after="20" w:line="276" w:lineRule="auto"/>
    </w:pPr>
    <w:rPr>
      <w:rFonts w:ascii="Arial" w:hAnsi="Arial" w:cs="Arial"/>
      <w:b/>
      <w:color w:val="0F172B"/>
      <w:spacing w:val="4"/>
      <w:sz w:val="16"/>
      <w:szCs w:val="17"/>
      <w:lang w:val="en-GB"/>
    </w:rPr>
  </w:style>
  <w:style w:type="paragraph" w:customStyle="1" w:styleId="WHeadingException3">
    <w:name w:val="W_Heading_Exception3"/>
    <w:basedOn w:val="WHeading4"/>
    <w:qFormat/>
    <w:rsid w:val="0076174B"/>
  </w:style>
  <w:style w:type="paragraph" w:customStyle="1" w:styleId="WHeadingException2">
    <w:name w:val="W_Heading_Exception2"/>
    <w:qFormat/>
    <w:rsid w:val="00CF52F9"/>
    <w:pPr>
      <w:spacing w:after="20" w:line="276" w:lineRule="auto"/>
    </w:pPr>
    <w:rPr>
      <w:rFonts w:ascii="Arial" w:hAnsi="Arial" w:cs="Arial"/>
      <w:b/>
      <w:bCs/>
      <w:caps/>
      <w:color w:val="0F172B"/>
      <w:sz w:val="20"/>
      <w:szCs w:val="20"/>
      <w:lang w:val="en-GB"/>
    </w:rPr>
  </w:style>
  <w:style w:type="paragraph" w:customStyle="1" w:styleId="Wnormal0">
    <w:name w:val="W_normal"/>
    <w:link w:val="WnormalChar"/>
    <w:uiPriority w:val="3"/>
    <w:qFormat/>
    <w:rsid w:val="004F6AFD"/>
    <w:pPr>
      <w:spacing w:after="240" w:line="276" w:lineRule="auto"/>
    </w:pPr>
    <w:rPr>
      <w:rFonts w:ascii="Arial" w:hAnsi="Arial" w:cs="Arial"/>
      <w:color w:val="111111"/>
      <w:spacing w:val="2"/>
      <w:sz w:val="17"/>
      <w:szCs w:val="17"/>
      <w:lang w:val="en-GB"/>
    </w:rPr>
  </w:style>
  <w:style w:type="character" w:customStyle="1" w:styleId="WnormalChar">
    <w:name w:val="W_normal Char"/>
    <w:basedOn w:val="DefaultParagraphFont"/>
    <w:link w:val="Wnormal0"/>
    <w:uiPriority w:val="3"/>
    <w:locked/>
    <w:rsid w:val="00063888"/>
    <w:rPr>
      <w:rFonts w:ascii="Arial" w:hAnsi="Arial" w:cs="Arial"/>
      <w:color w:val="111111"/>
      <w:spacing w:val="2"/>
      <w:sz w:val="17"/>
      <w:szCs w:val="17"/>
      <w:lang w:val="en-GB"/>
    </w:rPr>
  </w:style>
  <w:style w:type="paragraph" w:customStyle="1" w:styleId="WHeading20">
    <w:name w:val="W_Heading2"/>
    <w:qFormat/>
    <w:rsid w:val="0055291E"/>
    <w:pPr>
      <w:spacing w:after="20" w:line="276" w:lineRule="auto"/>
    </w:pPr>
    <w:rPr>
      <w:rFonts w:ascii="Arial" w:hAnsi="Arial" w:cs="Arial"/>
      <w:b/>
      <w:bCs/>
      <w:caps/>
      <w:color w:val="0F172B"/>
      <w:sz w:val="20"/>
      <w:szCs w:val="20"/>
      <w:lang w:val="en-GB"/>
    </w:rPr>
  </w:style>
  <w:style w:type="character" w:customStyle="1" w:styleId="Heading3Char">
    <w:name w:val="Heading 3 Char"/>
    <w:basedOn w:val="DefaultParagraphFont"/>
    <w:link w:val="Heading3"/>
    <w:uiPriority w:val="9"/>
    <w:rsid w:val="004A461A"/>
    <w:rPr>
      <w:rFonts w:ascii="Arial" w:hAnsi="Arial" w:cs="Arial"/>
      <w:b/>
      <w:bCs/>
      <w:color w:val="0F172B"/>
      <w:spacing w:val="4"/>
      <w:sz w:val="17"/>
      <w:szCs w:val="17"/>
      <w:lang w:val="en-GB"/>
    </w:rPr>
  </w:style>
  <w:style w:type="paragraph" w:customStyle="1" w:styleId="WHeading3">
    <w:name w:val="W_Heading3"/>
    <w:basedOn w:val="Heading3"/>
    <w:link w:val="WHeading3Char"/>
    <w:qFormat/>
    <w:rsid w:val="003F69CD"/>
  </w:style>
  <w:style w:type="character" w:customStyle="1" w:styleId="WHeading3Char">
    <w:name w:val="W_Heading3 Char"/>
    <w:basedOn w:val="Heading3Char"/>
    <w:link w:val="WHeading3"/>
    <w:rsid w:val="003F69CD"/>
  </w:style>
  <w:style w:type="paragraph" w:customStyle="1" w:styleId="WHeadingException1">
    <w:name w:val="W_Heading_Exception1"/>
    <w:qFormat/>
    <w:rsid w:val="009124E4"/>
    <w:pPr>
      <w:spacing w:after="20" w:line="276" w:lineRule="auto"/>
    </w:pPr>
    <w:rPr>
      <w:rFonts w:ascii="Arial" w:hAnsi="Arial" w:cs="Arial"/>
      <w:b/>
      <w:bCs/>
      <w:color w:val="0F172B"/>
      <w:spacing w:val="4"/>
      <w:sz w:val="17"/>
      <w:szCs w:val="17"/>
      <w:lang w:val="en-GB"/>
    </w:rPr>
  </w:style>
  <w:style w:type="character" w:styleId="BookTitle">
    <w:name w:val="Book Title"/>
    <w:uiPriority w:val="33"/>
    <w:qFormat/>
    <w:rsid w:val="00331EAF"/>
  </w:style>
  <w:style w:type="paragraph" w:styleId="Subtitle">
    <w:name w:val="Subtitle"/>
    <w:next w:val="Normal"/>
    <w:link w:val="SubtitleChar"/>
    <w:uiPriority w:val="11"/>
    <w:qFormat/>
    <w:rsid w:val="009634ED"/>
    <w:pPr>
      <w:suppressAutoHyphens/>
      <w:spacing w:after="20" w:line="276" w:lineRule="auto"/>
    </w:pPr>
    <w:rPr>
      <w:rFonts w:ascii="Arial" w:hAnsi="Arial" w:cs="Arial"/>
      <w:b/>
      <w:bCs/>
      <w:color w:val="FF7321"/>
      <w:spacing w:val="4"/>
      <w:sz w:val="17"/>
      <w:szCs w:val="17"/>
      <w:lang w:val="en-GB"/>
    </w:rPr>
  </w:style>
  <w:style w:type="character" w:customStyle="1" w:styleId="SubtitleChar">
    <w:name w:val="Subtitle Char"/>
    <w:basedOn w:val="DefaultParagraphFont"/>
    <w:link w:val="Subtitle"/>
    <w:uiPriority w:val="11"/>
    <w:rsid w:val="009634ED"/>
    <w:rPr>
      <w:rFonts w:ascii="Arial" w:hAnsi="Arial" w:cs="Arial"/>
      <w:b/>
      <w:bCs/>
      <w:color w:val="FF7321"/>
      <w:spacing w:val="4"/>
      <w:sz w:val="17"/>
      <w:szCs w:val="17"/>
      <w:lang w:val="en-GB"/>
    </w:rPr>
  </w:style>
  <w:style w:type="table" w:styleId="TableGrid">
    <w:name w:val="Table Grid"/>
    <w:basedOn w:val="TableNormal"/>
    <w:uiPriority w:val="39"/>
    <w:rsid w:val="00505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qFormat/>
    <w:rsid w:val="00531D73"/>
    <w:pPr>
      <w:suppressAutoHyphens/>
      <w:spacing w:after="240" w:line="276" w:lineRule="auto"/>
    </w:pPr>
    <w:rPr>
      <w:rFonts w:ascii="Arial" w:hAnsi="Arial" w:cs="Arial"/>
      <w:spacing w:val="2"/>
      <w:sz w:val="17"/>
      <w:szCs w:val="17"/>
      <w:lang w:val="fi-FI"/>
    </w:rPr>
  </w:style>
  <w:style w:type="character" w:styleId="Emphasis">
    <w:name w:val="Emphasis"/>
    <w:uiPriority w:val="20"/>
    <w:qFormat/>
    <w:rsid w:val="00423DED"/>
    <w:rPr>
      <w:b/>
      <w:bCs/>
      <w:color w:val="FF7321"/>
    </w:rPr>
  </w:style>
  <w:style w:type="character" w:styleId="Strong">
    <w:name w:val="Strong"/>
    <w:basedOn w:val="Emphasis"/>
    <w:uiPriority w:val="22"/>
    <w:qFormat/>
    <w:rsid w:val="00694193"/>
    <w:rPr>
      <w:rFonts w:ascii="Arial" w:hAnsi="Arial"/>
      <w:b/>
      <w:bCs/>
      <w:color w:val="FF7321"/>
      <w:spacing w:val="0"/>
      <w:sz w:val="16"/>
      <w:szCs w:val="16"/>
    </w:rPr>
  </w:style>
  <w:style w:type="paragraph" w:customStyle="1" w:styleId="WHeading40">
    <w:name w:val="W_Heading4"/>
    <w:qFormat/>
    <w:rsid w:val="00DC6DCA"/>
    <w:pPr>
      <w:spacing w:after="20" w:line="276" w:lineRule="auto"/>
    </w:pPr>
    <w:rPr>
      <w:rFonts w:ascii="Arial" w:eastAsia="Calibri" w:hAnsi="Arial" w:cs="Arial"/>
      <w:b/>
      <w:bCs/>
      <w:color w:val="0F172B"/>
      <w:spacing w:val="4"/>
      <w:sz w:val="16"/>
      <w:szCs w:val="16"/>
    </w:rPr>
  </w:style>
  <w:style w:type="character" w:customStyle="1" w:styleId="Heading4Char">
    <w:name w:val="Heading 4 Char"/>
    <w:basedOn w:val="DefaultParagraphFont"/>
    <w:link w:val="Heading4"/>
    <w:uiPriority w:val="9"/>
    <w:rsid w:val="00EF6F8D"/>
    <w:rPr>
      <w:rFonts w:ascii="Arial" w:eastAsia="Calibri" w:hAnsi="Arial" w:cs="Arial"/>
      <w:b/>
      <w:bCs/>
      <w:color w:val="0F172B"/>
      <w:spacing w:val="4"/>
      <w:sz w:val="16"/>
      <w:szCs w:val="16"/>
    </w:rPr>
  </w:style>
  <w:style w:type="character" w:styleId="Hyperlink">
    <w:name w:val="Hyperlink"/>
    <w:basedOn w:val="DefaultParagraphFont"/>
    <w:uiPriority w:val="99"/>
    <w:unhideWhenUsed/>
    <w:rsid w:val="00DE39BD"/>
    <w:rPr>
      <w:color w:val="0563C1"/>
      <w:u w:val="single"/>
    </w:rPr>
  </w:style>
  <w:style w:type="paragraph" w:customStyle="1" w:styleId="WChartText">
    <w:name w:val="W_Chart_Text"/>
    <w:qFormat/>
    <w:rsid w:val="001C1817"/>
    <w:rPr>
      <w:rFonts w:ascii="Arial" w:eastAsia="Calibri" w:hAnsi="Arial" w:cs="Arial"/>
      <w:color w:val="111111"/>
      <w:sz w:val="14"/>
      <w:szCs w:val="16"/>
      <w:lang w:val="fi-FI"/>
    </w:rPr>
  </w:style>
  <w:style w:type="paragraph" w:customStyle="1" w:styleId="Heading10">
    <w:name w:val="Heading 10"/>
    <w:next w:val="Normal"/>
    <w:link w:val="Heading10Char"/>
    <w:qFormat/>
    <w:rsid w:val="00F54053"/>
    <w:pPr>
      <w:keepNext/>
      <w:keepLines/>
      <w:spacing w:after="360" w:line="276" w:lineRule="auto"/>
    </w:pPr>
    <w:rPr>
      <w:rFonts w:ascii="Arial" w:hAnsi="Arial" w:cs="Arial"/>
      <w:b/>
      <w:color w:val="0E172B"/>
      <w:sz w:val="36"/>
      <w:szCs w:val="17"/>
    </w:rPr>
  </w:style>
  <w:style w:type="character" w:customStyle="1" w:styleId="Heading10Char">
    <w:name w:val="Heading 10 Char"/>
    <w:basedOn w:val="DefaultParagraphFont"/>
    <w:link w:val="Heading10"/>
    <w:rsid w:val="00F54053"/>
    <w:rPr>
      <w:rFonts w:ascii="Arial" w:hAnsi="Arial" w:cs="Arial"/>
      <w:b/>
      <w:color w:val="0E172B"/>
      <w:sz w:val="36"/>
      <w:szCs w:val="17"/>
    </w:rPr>
  </w:style>
  <w:style w:type="paragraph" w:customStyle="1" w:styleId="Bodytext2">
    <w:name w:val="Bodytext 2"/>
    <w:link w:val="Bodytext2Char"/>
    <w:qFormat/>
    <w:rsid w:val="005E6BF9"/>
    <w:pPr>
      <w:suppressAutoHyphens/>
      <w:spacing w:before="48" w:after="0" w:line="276" w:lineRule="auto"/>
    </w:pPr>
    <w:rPr>
      <w:rFonts w:ascii="Arial" w:hAnsi="Arial" w:cs="Arial"/>
      <w:color w:val="111111"/>
      <w:sz w:val="15"/>
      <w:szCs w:val="17"/>
    </w:rPr>
  </w:style>
  <w:style w:type="character" w:customStyle="1" w:styleId="Bodytext2Char">
    <w:name w:val="Bodytext 2 Char"/>
    <w:basedOn w:val="WnormalChar"/>
    <w:link w:val="Bodytext2"/>
    <w:rsid w:val="005E6BF9"/>
    <w:rPr>
      <w:sz w:val="15"/>
      <w:lang w:val="en-US"/>
    </w:rPr>
  </w:style>
  <w:style w:type="paragraph" w:customStyle="1" w:styleId="Heading13">
    <w:name w:val="Heading 13"/>
    <w:next w:val="Normal"/>
    <w:link w:val="Heading13Char"/>
    <w:qFormat/>
    <w:rsid w:val="002C6657"/>
    <w:pPr>
      <w:suppressAutoHyphens/>
      <w:spacing w:before="48" w:after="0" w:line="276" w:lineRule="auto"/>
    </w:pPr>
    <w:rPr>
      <w:rFonts w:ascii="Arial" w:hAnsi="Arial"/>
      <w:b/>
      <w:color w:val="000000"/>
      <w:sz w:val="15"/>
    </w:rPr>
  </w:style>
  <w:style w:type="character" w:customStyle="1" w:styleId="Heading13Char">
    <w:name w:val="Heading 13 Char"/>
    <w:basedOn w:val="DefaultParagraphFont"/>
    <w:link w:val="Heading13"/>
    <w:rsid w:val="002C6657"/>
    <w:rPr>
      <w:rFonts w:ascii="Arial" w:hAnsi="Arial"/>
      <w:b/>
      <w:color w:val="000000"/>
      <w:sz w:val="15"/>
    </w:rPr>
  </w:style>
  <w:style w:type="table" w:customStyle="1" w:styleId="TableGrid0">
    <w:name w:val="TableGrid"/>
    <w:rsid w:val="00022155"/>
    <w:pPr>
      <w:spacing w:after="0" w:line="240" w:lineRule="auto"/>
    </w:pPr>
    <w:rPr>
      <w:rFonts w:eastAsiaTheme="minorEastAsia" w:cstheme="minorHAnsi"/>
      <w:lang w:val="fi-FI" w:eastAsia="fi-FI"/>
    </w:rPr>
    <w:tblPr>
      <w:tblCellMar>
        <w:top w:w="0" w:type="dxa"/>
        <w:left w:w="0" w:type="dxa"/>
        <w:bottom w:w="0" w:type="dxa"/>
        <w:right w:w="0" w:type="dxa"/>
      </w:tblCellMar>
    </w:tblPr>
  </w:style>
  <w:style w:type="table" w:customStyle="1" w:styleId="CDMRange1">
    <w:name w:val="CDM Range 1"/>
    <w:basedOn w:val="TableNormal"/>
    <w:next w:val="TableNormal"/>
    <w:semiHidden/>
    <w:pPr>
      <w:spacing w:after="0" w:line="240" w:lineRule="auto"/>
    </w:pPr>
    <w:rPr>
      <w:rFonts w:ascii="Times New Roman" w:eastAsia="Times New Roman" w:hAnsi="Times New Roman" w:cs="Times New Roman"/>
      <w:sz w:val="20"/>
      <w:szCs w:val="20"/>
    </w:rPr>
    <w:tblPr/>
  </w:style>
  <w:style w:type="table" w:customStyle="1" w:styleId="CDMRange2">
    <w:name w:val="CDM Range 2"/>
    <w:basedOn w:val="TableNormal"/>
    <w:next w:val="TableNormal"/>
    <w:semiHidden/>
    <w:pPr>
      <w:spacing w:after="0" w:line="240" w:lineRule="auto"/>
    </w:pPr>
    <w:rPr>
      <w:rFonts w:ascii="Times New Roman" w:eastAsia="Times New Roman" w:hAnsi="Times New Roman" w:cs="Times New Roman"/>
      <w:sz w:val="20"/>
      <w:szCs w:val="20"/>
    </w:rPr>
    <w:tblPr/>
  </w:style>
  <w:style w:type="paragraph" w:customStyle="1" w:styleId="Heading11">
    <w:name w:val="Heading 11"/>
    <w:next w:val="Normal"/>
    <w:link w:val="Heading11Char"/>
    <w:qFormat/>
    <w:rsid w:val="00BF678B"/>
    <w:pPr>
      <w:spacing w:after="220" w:line="276" w:lineRule="auto"/>
    </w:pPr>
    <w:rPr>
      <w:rFonts w:ascii="Arial" w:hAnsi="Arial"/>
      <w:b/>
      <w:color w:val="0E172B"/>
    </w:rPr>
  </w:style>
  <w:style w:type="character" w:customStyle="1" w:styleId="Heading11Char">
    <w:name w:val="Heading 11 Char"/>
    <w:basedOn w:val="DefaultParagraphFont"/>
    <w:link w:val="Heading11"/>
    <w:rsid w:val="00BF678B"/>
    <w:rPr>
      <w:rFonts w:ascii="Arial" w:hAnsi="Arial"/>
      <w:b/>
      <w:color w:val="0E172B"/>
    </w:rPr>
  </w:style>
  <w:style w:type="paragraph" w:customStyle="1" w:styleId="Heading12">
    <w:name w:val="Heading 12"/>
    <w:next w:val="Normal"/>
    <w:link w:val="Heading12Char"/>
    <w:qFormat/>
    <w:rsid w:val="006252FD"/>
    <w:pPr>
      <w:spacing w:after="0" w:line="276" w:lineRule="auto"/>
    </w:pPr>
    <w:rPr>
      <w:rFonts w:ascii="Arial" w:hAnsi="Arial"/>
      <w:b/>
      <w:color w:val="0E172B"/>
      <w:sz w:val="17"/>
    </w:rPr>
  </w:style>
  <w:style w:type="character" w:customStyle="1" w:styleId="Heading12Char">
    <w:name w:val="Heading 12 Char"/>
    <w:basedOn w:val="DefaultParagraphFont"/>
    <w:link w:val="Heading12"/>
    <w:rsid w:val="006252FD"/>
    <w:rPr>
      <w:rFonts w:ascii="Arial" w:hAnsi="Arial"/>
      <w:b/>
      <w:color w:val="0E172B"/>
      <w:sz w:val="17"/>
    </w:rPr>
  </w:style>
  <w:style w:type="paragraph" w:customStyle="1" w:styleId="01body1">
    <w:name w:val="01_body_1"/>
    <w:basedOn w:val="Normal"/>
    <w:rsid w:val="00231CA1"/>
    <w:pPr>
      <w:tabs>
        <w:tab w:val="left" w:pos="113"/>
        <w:tab w:val="left" w:pos="440"/>
      </w:tabs>
      <w:autoSpaceDE w:val="0"/>
      <w:autoSpaceDN w:val="0"/>
      <w:adjustRightInd w:val="0"/>
      <w:spacing w:after="0" w:line="230" w:lineRule="atLeast"/>
    </w:pPr>
    <w:rPr>
      <w:rFonts w:ascii="Helvetica Neue LT Std 45 Light" w:eastAsia="Times New Roman" w:hAnsi="Helvetica Neue LT Std 45 Light" w:cs="Helvetica Neue LT Std 45 Light"/>
      <w:color w:val="000000"/>
      <w:sz w:val="17"/>
      <w:szCs w:val="17"/>
      <w:lang w:eastAsia="en-GB"/>
    </w:rPr>
  </w:style>
  <w:style w:type="paragraph" w:customStyle="1" w:styleId="Maintitle">
    <w:name w:val="Main title"/>
    <w:basedOn w:val="Normal"/>
    <w:next w:val="BodyText"/>
    <w:qFormat/>
    <w:rsid w:val="003B5952"/>
    <w:pPr>
      <w:spacing w:after="240" w:line="240" w:lineRule="atLeast"/>
    </w:pPr>
    <w:rPr>
      <w:rFonts w:ascii="Georgia" w:eastAsia="Arial" w:hAnsi="Georgia" w:cs="Times New Roman"/>
      <w:b/>
      <w:i/>
      <w:color w:val="DC6900"/>
      <w:sz w:val="36"/>
      <w:szCs w:val="28"/>
      <w:lang w:val="fi-FI"/>
    </w:rPr>
  </w:style>
  <w:style w:type="paragraph" w:styleId="BodyText">
    <w:name w:val="Body Text"/>
    <w:basedOn w:val="Normal"/>
    <w:link w:val="BodyTextChar"/>
    <w:uiPriority w:val="99"/>
    <w:unhideWhenUsed/>
    <w:qFormat/>
    <w:rsid w:val="00C509F6"/>
    <w:pPr>
      <w:suppressAutoHyphens/>
      <w:spacing w:after="180" w:line="240" w:lineRule="atLeast"/>
    </w:pPr>
    <w:rPr>
      <w:rFonts w:ascii="Georgia" w:eastAsia="Arial" w:hAnsi="Georgia" w:cs="Times New Roman"/>
      <w:sz w:val="20"/>
      <w:szCs w:val="20"/>
      <w:lang w:val="en-GB"/>
    </w:rPr>
  </w:style>
  <w:style w:type="character" w:customStyle="1" w:styleId="BodyTextChar">
    <w:name w:val="Body Text Char"/>
    <w:basedOn w:val="DefaultParagraphFont"/>
    <w:link w:val="BodyText"/>
    <w:uiPriority w:val="99"/>
    <w:rsid w:val="00C509F6"/>
    <w:rPr>
      <w:rFonts w:ascii="Georgia" w:eastAsia="Arial" w:hAnsi="Georgia" w:cs="Times New Roman"/>
      <w:sz w:val="20"/>
      <w:szCs w:val="20"/>
      <w:lang w:val="en-GB"/>
    </w:rPr>
  </w:style>
  <w:style w:type="paragraph" w:customStyle="1" w:styleId="WAuditHeading1">
    <w:name w:val="W_Audit_Heading1"/>
    <w:uiPriority w:val="99"/>
    <w:qFormat/>
    <w:rsid w:val="00C943B0"/>
    <w:pPr>
      <w:spacing w:before="360" w:after="60" w:line="240" w:lineRule="atLeast"/>
    </w:pPr>
    <w:rPr>
      <w:rFonts w:ascii="Georgia" w:eastAsia="Arial" w:hAnsi="Georgia" w:cs="Times New Roman"/>
      <w:i/>
      <w:sz w:val="28"/>
      <w:szCs w:val="20"/>
    </w:rPr>
  </w:style>
  <w:style w:type="paragraph" w:customStyle="1" w:styleId="WAuditHeading2">
    <w:name w:val="W_Audit_Heading2"/>
    <w:uiPriority w:val="99"/>
    <w:qFormat/>
    <w:rsid w:val="00C943B0"/>
    <w:pPr>
      <w:pBdr>
        <w:top w:val="single" w:sz="4" w:space="3" w:color="DC6900"/>
      </w:pBdr>
      <w:spacing w:before="240" w:after="60" w:line="240" w:lineRule="atLeast"/>
    </w:pPr>
    <w:rPr>
      <w:rFonts w:ascii="Georgia" w:eastAsia="Arial" w:hAnsi="Georgia" w:cs="Times New Roman"/>
      <w:i/>
      <w:color w:val="DC6900"/>
      <w:sz w:val="24"/>
      <w:szCs w:val="20"/>
      <w:lang w:val="en-GB"/>
    </w:rPr>
  </w:style>
  <w:style w:type="paragraph" w:styleId="ListBullet">
    <w:name w:val="List Bullet"/>
    <w:basedOn w:val="Normal"/>
    <w:uiPriority w:val="13"/>
    <w:unhideWhenUsed/>
    <w:qFormat/>
    <w:rsid w:val="00C509F6"/>
    <w:pPr>
      <w:numPr>
        <w:numId w:val="3"/>
      </w:numPr>
      <w:suppressAutoHyphens/>
      <w:spacing w:after="240" w:line="240" w:lineRule="atLeast"/>
      <w:ind w:left="357" w:hanging="357"/>
    </w:pPr>
    <w:rPr>
      <w:rFonts w:ascii="Georgia" w:eastAsia="Arial" w:hAnsi="Georgia" w:cs="Times New Roman"/>
      <w:sz w:val="20"/>
      <w:szCs w:val="20"/>
      <w:lang w:val="fi-FI"/>
    </w:rPr>
  </w:style>
  <w:style w:type="paragraph" w:styleId="ListBullet2">
    <w:name w:val="List Bullet 2"/>
    <w:basedOn w:val="Normal"/>
    <w:uiPriority w:val="13"/>
    <w:unhideWhenUsed/>
    <w:qFormat/>
    <w:rsid w:val="007821F2"/>
    <w:pPr>
      <w:numPr>
        <w:ilvl w:val="1"/>
        <w:numId w:val="3"/>
      </w:numPr>
      <w:tabs>
        <w:tab w:val="num" w:pos="1134"/>
      </w:tabs>
      <w:spacing w:after="240" w:line="240" w:lineRule="atLeast"/>
      <w:ind w:left="1134" w:hanging="567"/>
    </w:pPr>
    <w:rPr>
      <w:rFonts w:ascii="Georgia" w:eastAsia="Arial" w:hAnsi="Georgia" w:cs="Times New Roman"/>
      <w:sz w:val="20"/>
      <w:szCs w:val="20"/>
      <w:lang w:val="en-GB"/>
    </w:rPr>
  </w:style>
  <w:style w:type="paragraph" w:styleId="ListBullet4">
    <w:name w:val="List Bullet 4"/>
    <w:basedOn w:val="Normal"/>
    <w:uiPriority w:val="13"/>
    <w:unhideWhenUsed/>
    <w:rsid w:val="007821F2"/>
    <w:pPr>
      <w:numPr>
        <w:ilvl w:val="3"/>
        <w:numId w:val="3"/>
      </w:numPr>
      <w:tabs>
        <w:tab w:val="num" w:pos="2268"/>
      </w:tabs>
      <w:spacing w:after="240" w:line="240" w:lineRule="atLeast"/>
      <w:ind w:left="2268" w:hanging="567"/>
    </w:pPr>
    <w:rPr>
      <w:rFonts w:ascii="Georgia" w:eastAsia="Arial" w:hAnsi="Georgia" w:cs="Times New Roman"/>
      <w:sz w:val="20"/>
      <w:szCs w:val="20"/>
      <w:lang w:val="en-GB"/>
    </w:rPr>
  </w:style>
  <w:style w:type="paragraph" w:styleId="ListBullet5">
    <w:name w:val="List Bullet 5"/>
    <w:basedOn w:val="Normal"/>
    <w:uiPriority w:val="13"/>
    <w:unhideWhenUsed/>
    <w:rsid w:val="007821F2"/>
    <w:pPr>
      <w:numPr>
        <w:ilvl w:val="4"/>
        <w:numId w:val="3"/>
      </w:numPr>
      <w:tabs>
        <w:tab w:val="num" w:pos="2835"/>
      </w:tabs>
      <w:spacing w:after="240" w:line="240" w:lineRule="atLeast"/>
      <w:ind w:left="2835" w:hanging="567"/>
    </w:pPr>
    <w:rPr>
      <w:rFonts w:ascii="Georgia" w:eastAsia="Arial" w:hAnsi="Georgia" w:cs="Times New Roman"/>
      <w:sz w:val="20"/>
      <w:szCs w:val="20"/>
      <w:lang w:val="en-GB"/>
    </w:rPr>
  </w:style>
  <w:style w:type="paragraph" w:customStyle="1" w:styleId="WAuditHeading3">
    <w:name w:val="W_Audit_Heading3"/>
    <w:uiPriority w:val="99"/>
    <w:qFormat/>
    <w:rsid w:val="00C943B0"/>
    <w:pPr>
      <w:spacing w:before="240" w:after="60" w:line="240" w:lineRule="atLeast"/>
    </w:pPr>
    <w:rPr>
      <w:rFonts w:ascii="Georgia" w:eastAsia="Arial" w:hAnsi="Georgia" w:cs="Times New Roman"/>
      <w:b/>
      <w:color w:val="000000"/>
      <w:sz w:val="20"/>
      <w:szCs w:val="20"/>
    </w:rPr>
  </w:style>
  <w:style w:type="paragraph" w:customStyle="1" w:styleId="TableBody">
    <w:name w:val="TableBody"/>
    <w:basedOn w:val="BodyText"/>
    <w:qFormat/>
    <w:rsid w:val="003325DE"/>
    <w:pPr>
      <w:numPr>
        <w:numId w:val="4"/>
      </w:numPr>
      <w:spacing w:before="60" w:after="60" w:line="264" w:lineRule="auto"/>
    </w:pPr>
  </w:style>
  <w:style w:type="numbering" w:customStyle="1" w:styleId="TableListNumber">
    <w:name w:val="TableListNumber"/>
    <w:uiPriority w:val="99"/>
    <w:rsid w:val="00F17E50"/>
    <w:pPr>
      <w:numPr>
        <w:numId w:val="5"/>
      </w:numPr>
    </w:pPr>
  </w:style>
  <w:style w:type="paragraph" w:customStyle="1" w:styleId="TableBodyListNumber">
    <w:name w:val="TableBodyListNumber"/>
    <w:basedOn w:val="TableBody"/>
    <w:qFormat/>
    <w:rsid w:val="009A2E1A"/>
    <w:pPr>
      <w:numPr>
        <w:ilvl w:val="1"/>
      </w:numPr>
      <w:tabs>
        <w:tab w:val="num" w:pos="397"/>
        <w:tab w:val="left" w:pos="426"/>
      </w:tabs>
      <w:ind w:left="397" w:hanging="397"/>
    </w:pPr>
  </w:style>
  <w:style w:type="paragraph" w:customStyle="1" w:styleId="TableBodyListBullet">
    <w:name w:val="TableBodyListBullet"/>
    <w:basedOn w:val="TableBody"/>
    <w:qFormat/>
    <w:rsid w:val="009A2E1A"/>
    <w:pPr>
      <w:numPr>
        <w:numId w:val="6"/>
      </w:numPr>
      <w:tabs>
        <w:tab w:val="num" w:pos="397"/>
      </w:tabs>
      <w:ind w:left="340" w:hanging="340"/>
    </w:pPr>
    <w:rPr>
      <w:szCs w:val="17"/>
    </w:rPr>
  </w:style>
  <w:style w:type="table" w:customStyle="1" w:styleId="PwCTableFigures">
    <w:name w:val="PwC Table Figures"/>
    <w:basedOn w:val="TableNormal"/>
    <w:uiPriority w:val="99"/>
    <w:qFormat/>
    <w:rsid w:val="00F17E50"/>
    <w:pPr>
      <w:spacing w:after="0" w:line="240" w:lineRule="auto"/>
    </w:pPr>
    <w:rPr>
      <w:rFonts w:ascii="Arial" w:eastAsia="Arial" w:hAnsi="Arial" w:cs="Times New Roman"/>
      <w:sz w:val="20"/>
      <w:szCs w:val="20"/>
      <w:lang w:val="en-GB"/>
    </w:rPr>
    <w:tblPr>
      <w:tblBorders>
        <w:bottom w:val="single" w:sz="4" w:space="0" w:color="DC6900" w:themeColor="text2"/>
        <w:insideH w:val="dotted" w:sz="4" w:space="0" w:color="DC6900" w:themeColor="text2"/>
      </w:tblBorders>
      <w:tblCellMar>
        <w:top w:w="57" w:type="dxa"/>
      </w:tblCellMar>
    </w:tblPr>
    <w:tblStylePr w:type="firstRow">
      <w:rPr>
        <w:b/>
      </w:rPr>
      <w:tblPr/>
      <w:tcPr>
        <w:tcBorders>
          <w:top w:val="single" w:sz="6" w:space="0" w:color="DC6900" w:themeColor="text2"/>
          <w:left w:val="nil"/>
          <w:bottom w:val="single" w:sz="6" w:space="0" w:color="DC6900" w:themeColor="text2"/>
          <w:right w:val="nil"/>
          <w:insideH w:val="nil"/>
          <w:insideV w:val="nil"/>
          <w:tl2br w:val="nil"/>
          <w:tr2bl w:val="nil"/>
        </w:tcBorders>
      </w:tcPr>
    </w:tblStylePr>
    <w:tblStylePr w:type="lastRow">
      <w:rPr>
        <w:rFonts w:asciiTheme="minorHAnsi" w:hAnsiTheme="minorHAnsi"/>
        <w:b/>
        <w:i w:val="0"/>
        <w:color w:val="auto"/>
        <w:sz w:val="20"/>
      </w:rPr>
      <w:tblPr/>
      <w:tcPr>
        <w:tcBorders>
          <w:top w:val="single" w:sz="6" w:space="0" w:color="DC6900" w:themeColor="text2"/>
          <w:left w:val="nil"/>
          <w:bottom w:val="single" w:sz="6" w:space="0" w:color="DC6900" w:themeColor="text2"/>
          <w:right w:val="nil"/>
          <w:insideH w:val="nil"/>
          <w:insideV w:val="nil"/>
          <w:tl2br w:val="nil"/>
          <w:tr2bl w:val="nil"/>
        </w:tcBorders>
      </w:tcPr>
    </w:tblStylePr>
  </w:style>
  <w:style w:type="paragraph" w:customStyle="1" w:styleId="BodySingle">
    <w:name w:val="Body Single"/>
    <w:basedOn w:val="BodyText"/>
    <w:link w:val="BodySingleChar"/>
    <w:rsid w:val="00F17E50"/>
    <w:pPr>
      <w:spacing w:after="0"/>
    </w:pPr>
  </w:style>
  <w:style w:type="character" w:customStyle="1" w:styleId="BodySingleChar">
    <w:name w:val="Body Single Char"/>
    <w:basedOn w:val="BodyTextChar"/>
    <w:link w:val="BodySingle"/>
    <w:rsid w:val="00F17E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chart" Target="charts/chart1.xml" /><Relationship Id="rId12" Type="http://schemas.openxmlformats.org/officeDocument/2006/relationships/chart" Target="charts/chart2.xml" /><Relationship Id="rId13" Type="http://schemas.openxmlformats.org/officeDocument/2006/relationships/image" Target="media/image1.png" /><Relationship Id="rId14" Type="http://schemas.openxmlformats.org/officeDocument/2006/relationships/image" Target="media/image2.png" /><Relationship Id="rId15" Type="http://schemas.openxmlformats.org/officeDocument/2006/relationships/chart" Target="charts/chart3.xml" /><Relationship Id="rId16" Type="http://schemas.openxmlformats.org/officeDocument/2006/relationships/chart" Target="charts/chart4.xml" /><Relationship Id="rId17" Type="http://schemas.openxmlformats.org/officeDocument/2006/relationships/chart" Target="charts/chart5.xml" /><Relationship Id="rId18" Type="http://schemas.openxmlformats.org/officeDocument/2006/relationships/chart" Target="charts/chart6.xml" /><Relationship Id="rId19" Type="http://schemas.openxmlformats.org/officeDocument/2006/relationships/chart" Target="charts/chart7.xml" /><Relationship Id="rId2" Type="http://schemas.openxmlformats.org/officeDocument/2006/relationships/webSettings" Target="webSettings.xml" /><Relationship Id="rId20" Type="http://schemas.openxmlformats.org/officeDocument/2006/relationships/chart" Target="charts/chart8.xml" /><Relationship Id="rId21" Type="http://schemas.openxmlformats.org/officeDocument/2006/relationships/chart" Target="charts/chart9.xml" /><Relationship Id="rId22" Type="http://schemas.openxmlformats.org/officeDocument/2006/relationships/header" Target="header4.xml" /><Relationship Id="rId23" Type="http://schemas.openxmlformats.org/officeDocument/2006/relationships/header" Target="header5.xml" /><Relationship Id="rId24" Type="http://schemas.openxmlformats.org/officeDocument/2006/relationships/footer" Target="footer4.xml" /><Relationship Id="rId25" Type="http://schemas.openxmlformats.org/officeDocument/2006/relationships/footer" Target="footer5.xml" /><Relationship Id="rId26" Type="http://schemas.openxmlformats.org/officeDocument/2006/relationships/header" Target="header6.xml" /><Relationship Id="rId27" Type="http://schemas.openxmlformats.org/officeDocument/2006/relationships/footer" Target="footer6.xml" /><Relationship Id="rId28" Type="http://schemas.openxmlformats.org/officeDocument/2006/relationships/header" Target="header7.xml" /><Relationship Id="rId29" Type="http://schemas.openxmlformats.org/officeDocument/2006/relationships/header" Target="header8.xml" /><Relationship Id="rId3" Type="http://schemas.openxmlformats.org/officeDocument/2006/relationships/fontTable" Target="fontTable.xml" /><Relationship Id="rId30" Type="http://schemas.openxmlformats.org/officeDocument/2006/relationships/footer" Target="footer7.xml" /><Relationship Id="rId31" Type="http://schemas.openxmlformats.org/officeDocument/2006/relationships/footer" Target="footer8.xml" /><Relationship Id="rId32" Type="http://schemas.openxmlformats.org/officeDocument/2006/relationships/header" Target="header9.xml" /><Relationship Id="rId33" Type="http://schemas.openxmlformats.org/officeDocument/2006/relationships/footer" Target="footer9.xml" /><Relationship Id="rId34" Type="http://schemas.openxmlformats.org/officeDocument/2006/relationships/header" Target="header10.xml" /><Relationship Id="rId35" Type="http://schemas.openxmlformats.org/officeDocument/2006/relationships/header" Target="header11.xml" /><Relationship Id="rId36" Type="http://schemas.openxmlformats.org/officeDocument/2006/relationships/footer" Target="footer10.xml" /><Relationship Id="rId37" Type="http://schemas.openxmlformats.org/officeDocument/2006/relationships/footer" Target="footer11.xml" /><Relationship Id="rId38" Type="http://schemas.openxmlformats.org/officeDocument/2006/relationships/header" Target="header12.xml" /><Relationship Id="rId39" Type="http://schemas.openxmlformats.org/officeDocument/2006/relationships/footer" Target="footer12.xml" /><Relationship Id="rId4" Type="http://schemas.openxmlformats.org/officeDocument/2006/relationships/customXml" Target="../customXml/item1.xml" /><Relationship Id="rId40" Type="http://schemas.openxmlformats.org/officeDocument/2006/relationships/header" Target="header13.xml" /><Relationship Id="rId41" Type="http://schemas.openxmlformats.org/officeDocument/2006/relationships/header" Target="header14.xml" /><Relationship Id="rId42" Type="http://schemas.openxmlformats.org/officeDocument/2006/relationships/footer" Target="footer13.xml" /><Relationship Id="rId43" Type="http://schemas.openxmlformats.org/officeDocument/2006/relationships/footer" Target="footer14.xml" /><Relationship Id="rId44" Type="http://schemas.openxmlformats.org/officeDocument/2006/relationships/header" Target="header15.xml" /><Relationship Id="rId45" Type="http://schemas.openxmlformats.org/officeDocument/2006/relationships/footer" Target="footer15.xml" /><Relationship Id="rId46" Type="http://schemas.openxmlformats.org/officeDocument/2006/relationships/header" Target="header16.xml" /><Relationship Id="rId47" Type="http://schemas.openxmlformats.org/officeDocument/2006/relationships/header" Target="header17.xml" /><Relationship Id="rId48" Type="http://schemas.openxmlformats.org/officeDocument/2006/relationships/footer" Target="footer16.xml" /><Relationship Id="rId49" Type="http://schemas.openxmlformats.org/officeDocument/2006/relationships/footer" Target="footer17.xml" /><Relationship Id="rId5" Type="http://schemas.openxmlformats.org/officeDocument/2006/relationships/header" Target="header1.xml" /><Relationship Id="rId50" Type="http://schemas.openxmlformats.org/officeDocument/2006/relationships/header" Target="header18.xml" /><Relationship Id="rId51" Type="http://schemas.openxmlformats.org/officeDocument/2006/relationships/footer" Target="footer18.xml" /><Relationship Id="rId52" Type="http://schemas.openxmlformats.org/officeDocument/2006/relationships/header" Target="header19.xml" /><Relationship Id="rId53" Type="http://schemas.openxmlformats.org/officeDocument/2006/relationships/header" Target="header20.xml" /><Relationship Id="rId54" Type="http://schemas.openxmlformats.org/officeDocument/2006/relationships/footer" Target="footer19.xml" /><Relationship Id="rId55" Type="http://schemas.openxmlformats.org/officeDocument/2006/relationships/footer" Target="footer20.xml" /><Relationship Id="rId56" Type="http://schemas.openxmlformats.org/officeDocument/2006/relationships/header" Target="header21.xml" /><Relationship Id="rId57" Type="http://schemas.openxmlformats.org/officeDocument/2006/relationships/footer" Target="footer21.xml" /><Relationship Id="rId58" Type="http://schemas.openxmlformats.org/officeDocument/2006/relationships/header" Target="header22.xml" /><Relationship Id="rId59" Type="http://schemas.openxmlformats.org/officeDocument/2006/relationships/header" Target="header23.xml" /><Relationship Id="rId6" Type="http://schemas.openxmlformats.org/officeDocument/2006/relationships/header" Target="header2.xml" /><Relationship Id="rId60" Type="http://schemas.openxmlformats.org/officeDocument/2006/relationships/footer" Target="footer22.xml" /><Relationship Id="rId61" Type="http://schemas.openxmlformats.org/officeDocument/2006/relationships/footer" Target="footer23.xml" /><Relationship Id="rId62" Type="http://schemas.openxmlformats.org/officeDocument/2006/relationships/header" Target="header24.xml" /><Relationship Id="rId63" Type="http://schemas.openxmlformats.org/officeDocument/2006/relationships/footer" Target="footer24.xml" /><Relationship Id="rId64" Type="http://schemas.openxmlformats.org/officeDocument/2006/relationships/image" Target="media/image3.png" /><Relationship Id="rId65" Type="http://schemas.openxmlformats.org/officeDocument/2006/relationships/image" Target="media/image4.png" /><Relationship Id="rId66" Type="http://schemas.openxmlformats.org/officeDocument/2006/relationships/image" Target="media/image5.png" /><Relationship Id="rId67" Type="http://schemas.openxmlformats.org/officeDocument/2006/relationships/header" Target="header25.xml" /><Relationship Id="rId68" Type="http://schemas.openxmlformats.org/officeDocument/2006/relationships/header" Target="header26.xml" /><Relationship Id="rId69" Type="http://schemas.openxmlformats.org/officeDocument/2006/relationships/footer" Target="footer25.xml" /><Relationship Id="rId7" Type="http://schemas.openxmlformats.org/officeDocument/2006/relationships/footer" Target="footer1.xml" /><Relationship Id="rId70" Type="http://schemas.openxmlformats.org/officeDocument/2006/relationships/footer" Target="footer26.xml" /><Relationship Id="rId71" Type="http://schemas.openxmlformats.org/officeDocument/2006/relationships/header" Target="header27.xml" /><Relationship Id="rId72" Type="http://schemas.openxmlformats.org/officeDocument/2006/relationships/footer" Target="footer27.xml" /><Relationship Id="rId73" Type="http://schemas.openxmlformats.org/officeDocument/2006/relationships/theme" Target="theme/theme1.xml" /><Relationship Id="rId74" Type="http://schemas.openxmlformats.org/officeDocument/2006/relationships/numbering" Target="numbering.xml" /><Relationship Id="rId75" Type="http://schemas.openxmlformats.org/officeDocument/2006/relationships/styles" Target="styles.xml" /><Relationship Id="rId8" Type="http://schemas.openxmlformats.org/officeDocument/2006/relationships/footer" Target="footer2.xml" /><Relationship Id="rId9" Type="http://schemas.openxmlformats.org/officeDocument/2006/relationships/header" Target="header3.xml" /></Relationships>
</file>

<file path=word/_rels/header25.xml.rels>&#65279;<?xml version="1.0" encoding="utf-8" standalone="yes"?><Relationships xmlns="http://schemas.openxmlformats.org/package/2006/relationships"><Relationship Id="rId1" Type="http://schemas.openxmlformats.org/officeDocument/2006/relationships/image" Target="media/image6.png" /></Relationships>
</file>

<file path=word/_rels/header26.xml.rels>&#65279;<?xml version="1.0" encoding="utf-8" standalone="yes"?><Relationships xmlns="http://schemas.openxmlformats.org/package/2006/relationships"><Relationship Id="rId1" Type="http://schemas.openxmlformats.org/officeDocument/2006/relationships/image" Target="media/image6.png" /></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75"/>
          <c:y val="0.1955"/>
          <c:w val="0.8465"/>
          <c:h val="0.70625"/>
        </c:manualLayout>
      </c:layout>
      <c:barChart>
        <c:barDir val="col"/>
        <c:grouping val="stacked"/>
        <c:varyColors val="0"/>
        <c:ser>
          <c:idx val="2"/>
          <c:order val="0"/>
          <c:tx>
            <c:strRef>
              <c:f>'Liikevaihdon kehitys'!$E$3</c:f>
              <c:strCache>
                <c:ptCount val="1"/>
                <c:pt idx="0">
                  <c:v>Konsernin liikevaihdon kehitys</c:v>
                </c:pt>
              </c:strCache>
            </c:strRef>
          </c:tx>
          <c:spPr>
            <a:solidFill>
              <a:srgbClr val="0F334A"/>
            </a:solidFill>
            <a:ln w="6350">
              <a:solidFill>
                <a:srgbClr val="0F334A"/>
              </a:solidFill>
            </a:ln>
          </c:spPr>
          <c:invertIfNegative val="0"/>
          <c:dLbls>
            <c:numFmt formatCode="General" sourceLinked="1"/>
            <c:showLegendKey val="0"/>
            <c:showVal val="0"/>
            <c:showCatName val="0"/>
            <c:showSerName val="0"/>
            <c:showPercent val="0"/>
            <c:showBubbleSize val="0"/>
            <c:showLeaderLines val="0"/>
          </c:dLbls>
          <c:cat>
            <c:strRef>
              <c:f>'Liikevaihdon kehitys'!$B$6:$B$10</c:f>
              <c:strCache>
                <c:ptCount val="5"/>
                <c:pt idx="0">
                  <c:v>2016</c:v>
                </c:pt>
                <c:pt idx="1">
                  <c:v>2017*</c:v>
                </c:pt>
                <c:pt idx="2">
                  <c:v>2018</c:v>
                </c:pt>
                <c:pt idx="3">
                  <c:v>2019</c:v>
                </c:pt>
                <c:pt idx="4">
                  <c:v>2020</c:v>
                </c:pt>
              </c:strCache>
            </c:strRef>
          </c:cat>
          <c:val>
            <c:numRef>
              <c:f>'Liikevaihdon kehitys'!$E$6:$E$10</c:f>
              <c:numCache>
                <c:formatCode>General</c:formatCode>
                <c:ptCount val="5"/>
                <c:pt idx="0">
                  <c:v>4801</c:v>
                </c:pt>
                <c:pt idx="1">
                  <c:v>4911</c:v>
                </c:pt>
                <c:pt idx="2">
                  <c:v>5174</c:v>
                </c:pt>
                <c:pt idx="3">
                  <c:v>5170</c:v>
                </c:pt>
                <c:pt idx="4">
                  <c:v>4604</c:v>
                </c:pt>
              </c:numCache>
            </c:numRef>
          </c:val>
          <c:extLst>
            <c:ext xmlns:c="http://schemas.openxmlformats.org/drawingml/2006/chart" xmlns:c16="http://schemas.microsoft.com/office/drawing/2014/chart" uri="{C3380CC4-5D6E-409C-BE32-E72D297353CC}">
              <c16:uniqueId val="{00000002-48F7-467F-96D6-A4278D8AF04D}"/>
            </c:ext>
          </c:extLst>
        </c:ser>
        <c:gapWidth val="500"/>
        <c:overlap val="100"/>
        <c:axId val="27216172"/>
        <c:axId val="55024263"/>
      </c:barChart>
      <c:catAx>
        <c:axId val="27216172"/>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55024263"/>
        <c:crosses val="autoZero"/>
        <c:auto val="1"/>
        <c:lblOffset val="100"/>
        <c:noMultiLvlLbl val="0"/>
      </c:catAx>
      <c:valAx>
        <c:axId val="55024263"/>
        <c:scaling>
          <c:orientation val="minMax"/>
          <c:max val="6000"/>
        </c:scaling>
        <c:delete val="0"/>
        <c:axPos val="l"/>
        <c:majorGridlines>
          <c:spPr>
            <a:ln w="9525">
              <a:solidFill>
                <a:schemeClr val="tx1">
                  <a:lumMod val="15000"/>
                  <a:lumOff val="85000"/>
                </a:schemeClr>
              </a:solidFill>
              <a:round/>
            </a:ln>
          </c:spPr>
        </c:majorGridlines>
        <c:title>
          <c:tx>
            <c:rich>
              <a:bodyPr rot="0" vert="horz"/>
              <a:lstStyle/>
              <a:p>
                <a:pPr algn="ctr">
                  <a:defRPr/>
                </a:pPr>
                <a:r>
                  <a:rPr lang="en-US" u="none" baseline="0">
                    <a:solidFill>
                      <a:schemeClr val="tx1"/>
                    </a:solidFill>
                    <a:latin typeface="Arial"/>
                    <a:ea typeface="Arial"/>
                    <a:cs typeface="Arial"/>
                  </a:rPr>
                  <a:t>MEUR</a:t>
                </a:r>
              </a:p>
            </c:rich>
          </c:tx>
          <c:layout>
            <c:manualLayout>
              <c:xMode val="edge"/>
              <c:yMode val="edge"/>
              <c:x val="0.00275"/>
              <c:y val="0.00675"/>
            </c:manualLayout>
          </c:layout>
          <c:overlay val="0"/>
          <c:spPr>
            <a:noFill/>
            <a:ln w="6350">
              <a:noFill/>
            </a:ln>
          </c:spPr>
        </c:title>
        <c:numFmt formatCode="#,##0" sourceLinked="0"/>
        <c:majorTickMark val="none"/>
        <c:minorTickMark val="none"/>
        <c:tickLblPos val="nextTo"/>
        <c:spPr>
          <a:noFill/>
          <a:ln w="6350">
            <a:noFill/>
          </a:ln>
        </c:spPr>
        <c:crossAx val="27216172"/>
        <c:crosses val="autoZero"/>
        <c:crossBetween val="between"/>
        <c:majorUnit val="1000"/>
      </c:valAx>
      <c:spPr>
        <a:noFill/>
        <a:ln w="25400">
          <a:noFill/>
        </a:ln>
      </c:spPr>
    </c:plotArea>
    <c:plotVisOnly val="1"/>
    <c:dispBlanksAs val="gap"/>
    <c:showDLblsOverMax val="0"/>
  </c:chart>
  <c:spPr>
    <a:solidFill>
      <a:schemeClr val="bg1"/>
    </a:solidFill>
    <a:ln w="9525">
      <a:solidFill>
        <a:schemeClr val="bg1"/>
      </a:solidFill>
      <a:round/>
    </a:ln>
  </c:spPr>
  <c:txPr>
    <a:bodyPr rot="0" vert="horz"/>
    <a:lstStyle/>
    <a:p>
      <a:pPr>
        <a:defRPr lang="en-US" sz="700" u="none" baseline="0">
          <a:solidFill>
            <a:schemeClr val="tx1"/>
          </a:solidFill>
          <a:latin typeface="Arial"/>
          <a:ea typeface="Arial"/>
          <a:cs typeface="Arial"/>
        </a:defRPr>
      </a:pPr>
    </a:p>
  </c:txPr>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
          <c:y val="0.1605"/>
          <c:w val="0.815"/>
          <c:h val="0.571"/>
        </c:manualLayout>
      </c:layout>
      <c:barChart>
        <c:barDir val="col"/>
        <c:grouping val="clustered"/>
        <c:varyColors val="0"/>
        <c:ser>
          <c:idx val="2"/>
          <c:order val="0"/>
          <c:tx>
            <c:v>Comparable operating result</c:v>
          </c:tx>
          <c:spPr>
            <a:solidFill>
              <a:srgbClr val="0F334A"/>
            </a:solidFill>
            <a:ln w="6350">
              <a:noFill/>
            </a:ln>
          </c:spPr>
          <c:invertIfNegative val="0"/>
          <c:dLbls>
            <c:numFmt formatCode="General" sourceLinked="1"/>
            <c:showLegendKey val="0"/>
            <c:showVal val="0"/>
            <c:showCatName val="0"/>
            <c:showSerName val="0"/>
            <c:showPercent val="0"/>
            <c:showBubbleSize val="0"/>
            <c:showLeaderLines val="0"/>
          </c:dLbls>
          <c:cat>
            <c:strRef>
              <c:f>'Liikevaihdon kehitys'!$B$22:$B$26</c:f>
              <c:strCache>
                <c:ptCount val="5"/>
                <c:pt idx="0">
                  <c:v>2016</c:v>
                </c:pt>
                <c:pt idx="1">
                  <c:v>2017*</c:v>
                </c:pt>
                <c:pt idx="2">
                  <c:v>2018</c:v>
                </c:pt>
                <c:pt idx="3">
                  <c:v>2019</c:v>
                </c:pt>
                <c:pt idx="4">
                  <c:v>2020</c:v>
                </c:pt>
              </c:strCache>
            </c:strRef>
          </c:cat>
          <c:val>
            <c:numRef>
              <c:f>'Liikevaihdon kehitys'!$E$22:$E$26</c:f>
              <c:numCache>
                <c:formatCode>General</c:formatCode>
                <c:ptCount val="5"/>
                <c:pt idx="0">
                  <c:v>583</c:v>
                </c:pt>
                <c:pt idx="1">
                  <c:v>576</c:v>
                </c:pt>
                <c:pt idx="2">
                  <c:v>577</c:v>
                </c:pt>
                <c:pt idx="3">
                  <c:v>457</c:v>
                </c:pt>
                <c:pt idx="4">
                  <c:v>275</c:v>
                </c:pt>
              </c:numCache>
            </c:numRef>
          </c:val>
          <c:extLst>
            <c:ext xmlns:c="http://schemas.openxmlformats.org/drawingml/2006/chart" xmlns:c16="http://schemas.microsoft.com/office/drawing/2014/chart" uri="{C3380CC4-5D6E-409C-BE32-E72D297353CC}">
              <c16:uniqueId val="{00000000-0584-45E9-B440-BB39E31D9312}"/>
            </c:ext>
          </c:extLst>
        </c:ser>
        <c:ser>
          <c:idx val="0"/>
          <c:order val="1"/>
          <c:tx>
            <c:v>Profit before taxes</c:v>
          </c:tx>
          <c:spPr>
            <a:solidFill>
              <a:srgbClr val="CCCCCC"/>
            </a:solidFill>
            <a:ln w="6350">
              <a:noFill/>
            </a:ln>
          </c:spPr>
          <c:invertIfNegative val="0"/>
          <c:dLbls>
            <c:numFmt formatCode="General" sourceLinked="1"/>
            <c:showLegendKey val="0"/>
            <c:showVal val="0"/>
            <c:showCatName val="0"/>
            <c:showSerName val="0"/>
            <c:showPercent val="0"/>
            <c:showBubbleSize val="0"/>
            <c:showLeaderLines val="0"/>
          </c:dLbls>
          <c:cat>
            <c:strRef>
              <c:f>'Liikevaihdon kehitys'!$B$22:$B$26</c:f>
              <c:strCache>
                <c:ptCount val="5"/>
                <c:pt idx="0">
                  <c:v>2016</c:v>
                </c:pt>
                <c:pt idx="1">
                  <c:v>2017*</c:v>
                </c:pt>
                <c:pt idx="2">
                  <c:v>2018</c:v>
                </c:pt>
                <c:pt idx="3">
                  <c:v>2019</c:v>
                </c:pt>
                <c:pt idx="4">
                  <c:v>2020</c:v>
                </c:pt>
              </c:strCache>
            </c:strRef>
          </c:cat>
          <c:val>
            <c:numRef>
              <c:f>'Liikevaihdon kehitys'!$I$22:$I$26</c:f>
              <c:numCache>
                <c:formatCode>0</c:formatCode>
                <c:ptCount val="5"/>
                <c:pt idx="0">
                  <c:v>479</c:v>
                </c:pt>
                <c:pt idx="1">
                  <c:v>491</c:v>
                </c:pt>
                <c:pt idx="2">
                  <c:v>502</c:v>
                </c:pt>
                <c:pt idx="3">
                  <c:v>315</c:v>
                </c:pt>
                <c:pt idx="4">
                  <c:v>191</c:v>
                </c:pt>
              </c:numCache>
            </c:numRef>
          </c:val>
          <c:extLst>
            <c:ext xmlns:c="http://schemas.openxmlformats.org/drawingml/2006/chart" xmlns:c16="http://schemas.microsoft.com/office/drawing/2014/chart" uri="{C3380CC4-5D6E-409C-BE32-E72D297353CC}">
              <c16:uniqueId val="{00000002-0584-45E9-B440-BB39E31D9312}"/>
            </c:ext>
          </c:extLst>
        </c:ser>
        <c:gapWidth val="500"/>
        <c:axId val="37779882"/>
        <c:axId val="19093104"/>
      </c:barChart>
      <c:lineChart>
        <c:grouping val="standard"/>
        <c:varyColors val="0"/>
        <c:ser>
          <c:idx val="1"/>
          <c:order val="2"/>
          <c:tx>
            <c:v>Comparable operating result, %</c:v>
          </c:tx>
          <c:spPr>
            <a:ln w="22225" cap="rnd">
              <a:solidFill>
                <a:schemeClr val="accent2"/>
              </a:solidFill>
              <a:round/>
            </a:ln>
          </c:spPr>
          <c:marker>
            <c:symbol val="none"/>
          </c:marker>
          <c:dLbls>
            <c:numFmt formatCode="General" sourceLinked="1"/>
            <c:showLegendKey val="0"/>
            <c:showVal val="0"/>
            <c:showCatName val="0"/>
            <c:showSerName val="0"/>
            <c:showPercent val="0"/>
            <c:showBubbleSize val="0"/>
            <c:showLeaderLines val="0"/>
          </c:dLbls>
          <c:cat>
            <c:strRef>
              <c:f>'Liikevaihdon kehitys'!$B$22:$B$26</c:f>
              <c:strCache>
                <c:ptCount val="5"/>
                <c:pt idx="0">
                  <c:v>2016</c:v>
                </c:pt>
                <c:pt idx="1">
                  <c:v>2017*</c:v>
                </c:pt>
                <c:pt idx="2">
                  <c:v>2018</c:v>
                </c:pt>
                <c:pt idx="3">
                  <c:v>2019</c:v>
                </c:pt>
                <c:pt idx="4">
                  <c:v>2020</c:v>
                </c:pt>
              </c:strCache>
            </c:strRef>
          </c:cat>
          <c:val>
            <c:numRef>
              <c:f>'Liikevaihdon kehitys'!$M$22:$M$26</c:f>
              <c:numCache>
                <c:formatCode>0.0</c:formatCode>
                <c:ptCount val="5"/>
                <c:pt idx="0">
                  <c:v>12.1</c:v>
                </c:pt>
                <c:pt idx="1">
                  <c:v>11.7</c:v>
                </c:pt>
                <c:pt idx="2">
                  <c:v>11.2</c:v>
                </c:pt>
                <c:pt idx="3">
                  <c:v>8.8</c:v>
                </c:pt>
                <c:pt idx="4">
                  <c:v>6</c:v>
                </c:pt>
              </c:numCache>
            </c:numRef>
          </c:val>
          <c:smooth val="0"/>
          <c:extLst>
            <c:ext xmlns:c="http://schemas.openxmlformats.org/drawingml/2006/chart" xmlns:c16="http://schemas.microsoft.com/office/drawing/2014/chart" uri="{C3380CC4-5D6E-409C-BE32-E72D297353CC}">
              <c16:uniqueId val="{00000003-0584-45E9-B440-BB39E31D9312}"/>
            </c:ext>
          </c:extLst>
        </c:ser>
        <c:marker val="1"/>
        <c:axId val="7605958"/>
        <c:axId val="28047916"/>
      </c:lineChart>
      <c:catAx>
        <c:axId val="37779882"/>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19093104"/>
        <c:crosses val="autoZero"/>
        <c:auto val="1"/>
        <c:lblOffset val="100"/>
        <c:noMultiLvlLbl val="0"/>
      </c:catAx>
      <c:valAx>
        <c:axId val="19093104"/>
        <c:scaling>
          <c:orientation val="minMax"/>
          <c:max val="700"/>
        </c:scaling>
        <c:delete val="0"/>
        <c:axPos val="l"/>
        <c:majorGridlines>
          <c:spPr>
            <a:ln w="9525">
              <a:solidFill>
                <a:schemeClr val="tx1">
                  <a:lumMod val="15000"/>
                  <a:lumOff val="85000"/>
                </a:schemeClr>
              </a:solidFill>
              <a:round/>
            </a:ln>
          </c:spPr>
        </c:majorGridlines>
        <c:title>
          <c:tx>
            <c:rich>
              <a:bodyPr rot="0" vert="horz"/>
              <a:lstStyle/>
              <a:p>
                <a:pPr algn="ctr">
                  <a:defRPr/>
                </a:pPr>
                <a:r>
                  <a:rPr lang="en-US" u="none" baseline="0">
                    <a:solidFill>
                      <a:schemeClr val="tx1"/>
                    </a:solidFill>
                    <a:latin typeface="Arial"/>
                    <a:ea typeface="Arial"/>
                    <a:cs typeface="Arial"/>
                  </a:rPr>
                  <a:t>MEUR</a:t>
                </a:r>
              </a:p>
            </c:rich>
          </c:tx>
          <c:layout>
            <c:manualLayout>
              <c:xMode val="edge"/>
              <c:yMode val="edge"/>
              <c:x val="0.0035"/>
              <c:y val="0.0045"/>
            </c:manualLayout>
          </c:layout>
          <c:overlay val="0"/>
          <c:spPr>
            <a:noFill/>
            <a:ln w="6350">
              <a:noFill/>
            </a:ln>
          </c:spPr>
        </c:title>
        <c:numFmt formatCode="#,##0" sourceLinked="0"/>
        <c:majorTickMark val="none"/>
        <c:minorTickMark val="none"/>
        <c:tickLblPos val="nextTo"/>
        <c:spPr>
          <a:noFill/>
          <a:ln w="6350">
            <a:noFill/>
          </a:ln>
        </c:spPr>
        <c:crossAx val="37779882"/>
        <c:crosses val="autoZero"/>
        <c:crossBetween val="between"/>
        <c:majorUnit val="100"/>
      </c:valAx>
      <c:catAx>
        <c:axId val="7605958"/>
        <c:scaling>
          <c:orientation val="minMax"/>
        </c:scaling>
        <c:delete val="1"/>
        <c:axPos val="b"/>
        <c:majorTickMark val="out"/>
        <c:minorTickMark val="none"/>
        <c:tickLblPos val="nextTo"/>
        <c:spPr>
          <a:ln w="6350"/>
        </c:spPr>
        <c:crossAx val="28047916"/>
        <c:crosses val="autoZero"/>
        <c:auto val="1"/>
        <c:lblOffset val="100"/>
        <c:noMultiLvlLbl val="0"/>
      </c:catAx>
      <c:valAx>
        <c:axId val="28047916"/>
        <c:scaling>
          <c:orientation val="minMax"/>
          <c:min val="0"/>
        </c:scaling>
        <c:delete val="0"/>
        <c:axPos val="l"/>
        <c:title>
          <c:tx>
            <c:rich>
              <a:bodyPr rot="0" vert="horz"/>
              <a:lstStyle/>
              <a:p>
                <a:pPr algn="ctr">
                  <a:defRPr/>
                </a:pPr>
                <a:r>
                  <a:rPr lang="en-US" u="none" baseline="0">
                    <a:solidFill>
                      <a:schemeClr val="tx1"/>
                    </a:solidFill>
                    <a:latin typeface="Arial"/>
                    <a:ea typeface="Arial"/>
                    <a:cs typeface="Arial"/>
                  </a:rPr>
                  <a:t>%</a:t>
                </a:r>
              </a:p>
            </c:rich>
          </c:tx>
          <c:layout>
            <c:manualLayout>
              <c:xMode val="edge"/>
              <c:yMode val="edge"/>
              <c:x val="0.9495"/>
              <c:y val="0.0325"/>
            </c:manualLayout>
          </c:layout>
          <c:overlay val="0"/>
          <c:spPr>
            <a:noFill/>
            <a:ln w="6350">
              <a:noFill/>
            </a:ln>
          </c:spPr>
        </c:title>
        <c:numFmt formatCode="0" sourceLinked="0"/>
        <c:majorTickMark val="out"/>
        <c:minorTickMark val="none"/>
        <c:tickLblPos val="nextTo"/>
        <c:spPr>
          <a:noFill/>
          <a:ln w="6350">
            <a:noFill/>
          </a:ln>
        </c:spPr>
        <c:crossAx val="7605958"/>
        <c:crosses val="max"/>
        <c:crossBetween val="between"/>
      </c:valAx>
      <c:spPr>
        <a:noFill/>
        <a:ln w="25400">
          <a:noFill/>
        </a:ln>
      </c:spPr>
    </c:plotArea>
    <c:legend>
      <c:legendPos val="b"/>
      <c:layout>
        <c:manualLayout>
          <c:xMode val="edge"/>
          <c:yMode val="edge"/>
          <c:x val="0.107"/>
          <c:y val="0.84875"/>
          <c:w val="0.551"/>
          <c:h val="0.13975"/>
        </c:manualLayout>
      </c:layout>
      <c:overlay val="0"/>
      <c:spPr>
        <a:noFill/>
        <a:ln w="6350">
          <a:noFill/>
        </a:ln>
      </c:spPr>
    </c:legend>
    <c:plotVisOnly val="1"/>
    <c:dispBlanksAs val="gap"/>
    <c:showDLblsOverMax val="0"/>
  </c:chart>
  <c:spPr>
    <a:solidFill>
      <a:schemeClr val="bg1"/>
    </a:solidFill>
    <a:ln w="9525">
      <a:solidFill>
        <a:schemeClr val="bg1"/>
      </a:solidFill>
      <a:round/>
    </a:ln>
  </c:spPr>
  <c:txPr>
    <a:bodyPr rot="0" vert="horz"/>
    <a:lstStyle/>
    <a:p>
      <a:pPr>
        <a:defRPr lang="en-US" sz="700" u="none" baseline="0">
          <a:solidFill>
            <a:schemeClr val="tx1"/>
          </a:solidFill>
          <a:latin typeface="Arial"/>
          <a:ea typeface="Arial"/>
          <a:cs typeface="Arial"/>
        </a:defRPr>
      </a:pPr>
    </a:p>
  </c:txPr>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75"/>
          <c:y val="0.19225"/>
          <c:w val="0.828"/>
          <c:h val="0.70175"/>
        </c:manualLayout>
      </c:layout>
      <c:barChart>
        <c:barDir val="col"/>
        <c:grouping val="stacked"/>
        <c:varyColors val="0"/>
        <c:ser>
          <c:idx val="2"/>
          <c:order val="0"/>
          <c:tx>
            <c:strRef>
              <c:f>Rahoitus!$E$36</c:f>
              <c:strCache>
                <c:ptCount val="1"/>
                <c:pt idx="0">
                  <c:v>Vahvistetut luottolimiittisopimukset (kauden lopussa)</c:v>
                </c:pt>
              </c:strCache>
            </c:strRef>
          </c:tx>
          <c:spPr>
            <a:solidFill>
              <a:srgbClr val="0F172B"/>
            </a:solidFill>
            <a:ln w="6350">
              <a:noFill/>
            </a:ln>
          </c:spPr>
          <c:invertIfNegative val="0"/>
          <c:dLbls>
            <c:numFmt formatCode="General" sourceLinked="1"/>
            <c:showLegendKey val="0"/>
            <c:showVal val="0"/>
            <c:showCatName val="0"/>
            <c:showSerName val="0"/>
            <c:showPercent val="0"/>
            <c:showBubbleSize val="0"/>
            <c:showLeaderLines val="0"/>
          </c:dLbls>
          <c:cat>
            <c:numRef>
              <c:f>Rahoitus!$B$38:$B$44</c:f>
              <c:numCache>
                <c:formatCode>General</c:formatCode>
                <c:ptCount val="7"/>
                <c:pt idx="0">
                  <c:v>2020</c:v>
                </c:pt>
                <c:pt idx="1">
                  <c:v>2021</c:v>
                </c:pt>
                <c:pt idx="2">
                  <c:v>2022</c:v>
                </c:pt>
                <c:pt idx="3">
                  <c:v>2023</c:v>
                </c:pt>
                <c:pt idx="4">
                  <c:v>2024</c:v>
                </c:pt>
                <c:pt idx="5">
                  <c:v>2025</c:v>
                </c:pt>
                <c:pt idx="6">
                  <c:v>2026</c:v>
                </c:pt>
              </c:numCache>
            </c:numRef>
          </c:cat>
          <c:val>
            <c:numRef>
              <c:f>Rahoitus!$E$38:$E$44</c:f>
              <c:numCache>
                <c:formatCode>General</c:formatCode>
                <c:ptCount val="7"/>
                <c:pt idx="0">
                  <c:v>660</c:v>
                </c:pt>
                <c:pt idx="1">
                  <c:v>380</c:v>
                </c:pt>
                <c:pt idx="2">
                  <c:v>290</c:v>
                </c:pt>
                <c:pt idx="3">
                  <c:v>130</c:v>
                </c:pt>
                <c:pt idx="4">
                  <c:v>0</c:v>
                </c:pt>
              </c:numCache>
            </c:numRef>
          </c:val>
          <c:extLst>
            <c:ext xmlns:c="http://schemas.openxmlformats.org/drawingml/2006/chart" xmlns:c16="http://schemas.microsoft.com/office/drawing/2014/chart" uri="{C3380CC4-5D6E-409C-BE32-E72D297353CC}">
              <c16:uniqueId val="{00000000-79BE-4107-AB14-3569D1682B71}"/>
            </c:ext>
          </c:extLst>
        </c:ser>
        <c:gapWidth val="200"/>
        <c:overlap val="100"/>
        <c:axId val="7118875"/>
        <c:axId val="20624819"/>
      </c:barChart>
      <c:catAx>
        <c:axId val="7118875"/>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20624819"/>
        <c:crosses val="autoZero"/>
        <c:auto val="1"/>
        <c:lblOffset val="100"/>
        <c:noMultiLvlLbl val="0"/>
      </c:catAx>
      <c:valAx>
        <c:axId val="20624819"/>
        <c:scaling>
          <c:orientation val="minMax"/>
          <c:max val="750"/>
        </c:scaling>
        <c:delete val="0"/>
        <c:axPos val="l"/>
        <c:majorGridlines>
          <c:spPr>
            <a:ln w="9525">
              <a:solidFill>
                <a:schemeClr val="tx1">
                  <a:lumMod val="15000"/>
                  <a:lumOff val="85000"/>
                </a:schemeClr>
              </a:solidFill>
              <a:round/>
            </a:ln>
          </c:spPr>
        </c:majorGridlines>
        <c:title>
          <c:tx>
            <c:rich>
              <a:bodyPr rot="0" vertOverflow="clip" vert="horz"/>
              <a:lstStyle/>
              <a:p>
                <a:pPr algn="ctr">
                  <a:defRPr/>
                </a:pPr>
                <a:r>
                  <a:rPr lang="en-US" u="none" baseline="0">
                    <a:solidFill>
                      <a:schemeClr val="tx1"/>
                    </a:solidFill>
                    <a:latin typeface="Arial"/>
                    <a:ea typeface="Arial"/>
                    <a:cs typeface="Arial"/>
                  </a:rPr>
                  <a:t>MEUR</a:t>
                </a:r>
              </a:p>
            </c:rich>
          </c:tx>
          <c:layout>
            <c:manualLayout>
              <c:xMode val="edge"/>
              <c:yMode val="edge"/>
              <c:x val="0.0035"/>
              <c:y val="0.007"/>
            </c:manualLayout>
          </c:layout>
          <c:overlay val="0"/>
          <c:spPr>
            <a:noFill/>
            <a:ln w="6350">
              <a:noFill/>
            </a:ln>
          </c:spPr>
        </c:title>
        <c:numFmt formatCode="#,##0" sourceLinked="0"/>
        <c:majorTickMark val="none"/>
        <c:minorTickMark val="none"/>
        <c:tickLblPos val="nextTo"/>
        <c:spPr>
          <a:noFill/>
          <a:ln w="6350">
            <a:noFill/>
          </a:ln>
        </c:spPr>
        <c:crossAx val="7118875"/>
        <c:crosses val="autoZero"/>
        <c:crossBetween val="between"/>
        <c:majorUnit val="150"/>
      </c:valAx>
      <c:spPr>
        <a:noFill/>
        <a:ln w="25400">
          <a:noFill/>
        </a:ln>
      </c:spPr>
    </c:plotArea>
    <c:plotVisOnly val="1"/>
    <c:dispBlanksAs val="gap"/>
    <c:showDLblsOverMax val="0"/>
  </c:chart>
  <c:spPr>
    <a:solidFill>
      <a:schemeClr val="bg1"/>
    </a:solidFill>
    <a:ln w="9525">
      <a:solidFill>
        <a:schemeClr val="bg1"/>
      </a:solidFill>
      <a:round/>
    </a:ln>
  </c:spPr>
  <c:txPr>
    <a:bodyPr rot="0" vert="horz"/>
    <a:lstStyle/>
    <a:p>
      <a:pPr>
        <a:defRPr lang="en-US" sz="700" u="none" baseline="0">
          <a:solidFill>
            <a:schemeClr val="tx1"/>
          </a:solidFill>
          <a:latin typeface="Arial"/>
          <a:ea typeface="Arial"/>
          <a:cs typeface="Arial"/>
        </a:defRPr>
      </a:pPr>
    </a:p>
  </c:txPr>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
          <c:y val="0.1565"/>
          <c:w val="0.86275"/>
          <c:h val="0.5885"/>
        </c:manualLayout>
      </c:layout>
      <c:barChart>
        <c:barDir val="col"/>
        <c:grouping val="stacked"/>
        <c:varyColors val="0"/>
        <c:ser>
          <c:idx val="2"/>
          <c:order val="0"/>
          <c:tx>
            <c:v>Annual repayments of long-term loans</c:v>
          </c:tx>
          <c:spPr>
            <a:solidFill>
              <a:srgbClr val="0F172B"/>
            </a:solidFill>
            <a:ln w="6350">
              <a:noFill/>
            </a:ln>
          </c:spPr>
          <c:invertIfNegative val="0"/>
          <c:dLbls>
            <c:numFmt formatCode="General" sourceLinked="1"/>
            <c:showLegendKey val="0"/>
            <c:showVal val="0"/>
            <c:showCatName val="0"/>
            <c:showSerName val="0"/>
            <c:showPercent val="0"/>
            <c:showBubbleSize val="0"/>
            <c:showLeaderLines val="0"/>
          </c:dLbls>
          <c:cat>
            <c:strRef>
              <c:f>Rahoitus!$B$22:$B$33</c:f>
              <c:strCache>
                <c:ptCount val="12"/>
                <c:pt idx="0">
                  <c:v>21</c:v>
                </c:pt>
                <c:pt idx="1">
                  <c:v>22</c:v>
                </c:pt>
                <c:pt idx="2">
                  <c:v>23</c:v>
                </c:pt>
                <c:pt idx="3">
                  <c:v>24</c:v>
                </c:pt>
                <c:pt idx="4">
                  <c:v>25</c:v>
                </c:pt>
                <c:pt idx="5">
                  <c:v>26</c:v>
                </c:pt>
                <c:pt idx="6">
                  <c:v>27</c:v>
                </c:pt>
                <c:pt idx="7">
                  <c:v>28</c:v>
                </c:pt>
                <c:pt idx="8">
                  <c:v>29</c:v>
                </c:pt>
                <c:pt idx="9">
                  <c:v>30</c:v>
                </c:pt>
                <c:pt idx="10">
                  <c:v>31</c:v>
                </c:pt>
                <c:pt idx="11">
                  <c:v>31+</c:v>
                </c:pt>
              </c:strCache>
            </c:strRef>
          </c:cat>
          <c:val>
            <c:numRef>
              <c:f>Rahoitus!$E$22:$E$33</c:f>
              <c:numCache>
                <c:formatCode>General</c:formatCode>
                <c:ptCount val="12"/>
                <c:pt idx="0">
                  <c:v>158</c:v>
                </c:pt>
                <c:pt idx="1">
                  <c:v>297</c:v>
                </c:pt>
                <c:pt idx="2">
                  <c:v>182</c:v>
                </c:pt>
                <c:pt idx="3">
                  <c:v>115</c:v>
                </c:pt>
                <c:pt idx="4">
                  <c:v>117</c:v>
                </c:pt>
                <c:pt idx="5">
                  <c:v>188</c:v>
                </c:pt>
                <c:pt idx="6">
                  <c:v>58</c:v>
                </c:pt>
                <c:pt idx="7">
                  <c:v>29</c:v>
                </c:pt>
                <c:pt idx="8">
                  <c:v>12</c:v>
                </c:pt>
                <c:pt idx="9">
                  <c:v>6</c:v>
                </c:pt>
                <c:pt idx="10">
                  <c:v>0</c:v>
                </c:pt>
                <c:pt idx="11">
                  <c:v>0</c:v>
                </c:pt>
              </c:numCache>
            </c:numRef>
          </c:val>
          <c:extLst>
            <c:ext xmlns:c="http://schemas.openxmlformats.org/drawingml/2006/chart" xmlns:c16="http://schemas.microsoft.com/office/drawing/2014/chart" uri="{C3380CC4-5D6E-409C-BE32-E72D297353CC}">
              <c16:uniqueId val="{00000000-9680-4CEB-BB51-A098432E730E}"/>
            </c:ext>
          </c:extLst>
        </c:ser>
        <c:gapWidth val="130"/>
        <c:overlap val="100"/>
        <c:axId val="25519625"/>
        <c:axId val="17201653"/>
      </c:barChart>
      <c:catAx>
        <c:axId val="25519625"/>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17201653"/>
        <c:crosses val="autoZero"/>
        <c:auto val="1"/>
        <c:lblOffset val="100"/>
        <c:noMultiLvlLbl val="0"/>
      </c:catAx>
      <c:valAx>
        <c:axId val="17201653"/>
        <c:scaling>
          <c:orientation val="minMax"/>
          <c:max val="300"/>
        </c:scaling>
        <c:delete val="0"/>
        <c:axPos val="l"/>
        <c:majorGridlines>
          <c:spPr>
            <a:ln w="9525">
              <a:solidFill>
                <a:schemeClr val="tx1">
                  <a:lumMod val="15000"/>
                  <a:lumOff val="85000"/>
                </a:schemeClr>
              </a:solidFill>
              <a:round/>
            </a:ln>
          </c:spPr>
        </c:majorGridlines>
        <c:title>
          <c:tx>
            <c:rich>
              <a:bodyPr rot="0" vertOverflow="clip" vert="horz"/>
              <a:lstStyle/>
              <a:p>
                <a:pPr algn="ctr">
                  <a:defRPr/>
                </a:pPr>
                <a:r>
                  <a:rPr lang="en-US" u="none" baseline="0">
                    <a:solidFill>
                      <a:schemeClr val="tx1"/>
                    </a:solidFill>
                    <a:latin typeface="Arial"/>
                    <a:ea typeface="Arial"/>
                    <a:cs typeface="Arial"/>
                  </a:rPr>
                  <a:t>MEUR</a:t>
                </a:r>
              </a:p>
            </c:rich>
          </c:tx>
          <c:layout>
            <c:manualLayout>
              <c:xMode val="edge"/>
              <c:yMode val="edge"/>
              <c:x val="0.0035"/>
              <c:y val="0.003"/>
            </c:manualLayout>
          </c:layout>
          <c:overlay val="0"/>
          <c:spPr>
            <a:noFill/>
            <a:ln w="6350">
              <a:noFill/>
            </a:ln>
          </c:spPr>
        </c:title>
        <c:numFmt formatCode="#,##0" sourceLinked="0"/>
        <c:majorTickMark val="none"/>
        <c:minorTickMark val="none"/>
        <c:tickLblPos val="nextTo"/>
        <c:spPr>
          <a:noFill/>
          <a:ln w="6350">
            <a:noFill/>
          </a:ln>
        </c:spPr>
        <c:crossAx val="25519625"/>
        <c:crosses val="autoZero"/>
        <c:crossBetween val="between"/>
      </c:valAx>
      <c:spPr>
        <a:noFill/>
        <a:ln w="25400">
          <a:noFill/>
        </a:ln>
      </c:spPr>
    </c:plotArea>
    <c:legend>
      <c:legendPos val="b"/>
      <c:layout>
        <c:manualLayout>
          <c:xMode val="edge"/>
          <c:yMode val="edge"/>
          <c:x val="0.04825"/>
          <c:y val="0.86875"/>
          <c:w val="0.9025"/>
          <c:h val="0.128"/>
        </c:manualLayout>
      </c:layout>
      <c:overlay val="0"/>
      <c:spPr>
        <a:noFill/>
        <a:ln w="6350">
          <a:noFill/>
        </a:ln>
      </c:spPr>
    </c:legend>
    <c:plotVisOnly val="1"/>
    <c:dispBlanksAs val="gap"/>
    <c:showDLblsOverMax val="0"/>
  </c:chart>
  <c:spPr>
    <a:solidFill>
      <a:schemeClr val="bg1"/>
    </a:solidFill>
    <a:ln w="9525">
      <a:solidFill>
        <a:schemeClr val="bg1"/>
      </a:solidFill>
      <a:round/>
    </a:ln>
  </c:spPr>
  <c:txPr>
    <a:bodyPr rot="0" vert="horz"/>
    <a:lstStyle/>
    <a:p>
      <a:pPr>
        <a:defRPr lang="en-US" sz="700" u="none" baseline="0">
          <a:solidFill>
            <a:schemeClr val="tx1"/>
          </a:solidFill>
          <a:latin typeface="Arial"/>
          <a:ea typeface="Arial"/>
          <a:cs typeface="Arial"/>
        </a:defRPr>
      </a:pPr>
    </a:p>
  </c:txPr>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225"/>
          <c:y val="0.169"/>
          <c:w val="0.867"/>
          <c:h val="0.725"/>
        </c:manualLayout>
      </c:layout>
      <c:barChart>
        <c:barDir val="col"/>
        <c:grouping val="stacked"/>
        <c:varyColors val="0"/>
        <c:ser>
          <c:idx val="2"/>
          <c:order val="0"/>
          <c:tx>
            <c:strRef>
              <c:f>Rahoitus!$E$48</c:f>
            </c:strRef>
          </c:tx>
          <c:spPr>
            <a:solidFill>
              <a:srgbClr val="0F172B"/>
            </a:solidFill>
            <a:ln w="6350">
              <a:noFill/>
            </a:ln>
          </c:spPr>
          <c:invertIfNegative val="0"/>
          <c:dLbls>
            <c:numFmt formatCode="General" sourceLinked="1"/>
            <c:showLegendKey val="0"/>
            <c:showVal val="0"/>
            <c:showCatName val="0"/>
            <c:showSerName val="0"/>
            <c:showPercent val="0"/>
            <c:showBubbleSize val="0"/>
            <c:showLeaderLines val="0"/>
          </c:dLbls>
          <c:cat>
            <c:numRef>
              <c:f>Rahoitus!$B$49:$B$53</c:f>
              <c:numCache>
                <c:formatCode>General</c:formatCode>
                <c:ptCount val="5"/>
                <c:pt idx="0">
                  <c:v>2016</c:v>
                </c:pt>
                <c:pt idx="1">
                  <c:v>2017</c:v>
                </c:pt>
                <c:pt idx="2">
                  <c:v>2018</c:v>
                </c:pt>
                <c:pt idx="3">
                  <c:v>2019</c:v>
                </c:pt>
                <c:pt idx="4">
                  <c:v>2020</c:v>
                </c:pt>
              </c:numCache>
            </c:numRef>
          </c:cat>
          <c:val>
            <c:numRef>
              <c:f>Rahoitus!$E$49:$E$53</c:f>
              <c:numCache>
                <c:formatCode>0.00</c:formatCode>
                <c:ptCount val="5"/>
                <c:pt idx="0">
                  <c:v>0.07</c:v>
                </c:pt>
                <c:pt idx="1">
                  <c:v>0.1</c:v>
                </c:pt>
                <c:pt idx="2">
                  <c:v>0.14</c:v>
                </c:pt>
                <c:pt idx="3">
                  <c:v>0.3</c:v>
                </c:pt>
                <c:pt idx="4">
                  <c:v>0.18</c:v>
                </c:pt>
              </c:numCache>
            </c:numRef>
          </c:val>
          <c:extLst>
            <c:ext xmlns:c="http://schemas.openxmlformats.org/drawingml/2006/chart" xmlns:c16="http://schemas.microsoft.com/office/drawing/2014/chart" uri="{C3380CC4-5D6E-409C-BE32-E72D297353CC}">
              <c16:uniqueId val="{00000000-64BD-485E-A598-B8C3A0067F70}"/>
            </c:ext>
          </c:extLst>
        </c:ser>
        <c:gapWidth val="300"/>
        <c:overlap val="100"/>
        <c:axId val="14030734"/>
        <c:axId val="33047833"/>
      </c:barChart>
      <c:catAx>
        <c:axId val="14030734"/>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crossAx val="33047833"/>
        <c:crosses val="autoZero"/>
        <c:auto val="1"/>
        <c:lblOffset val="100"/>
        <c:noMultiLvlLbl val="0"/>
      </c:catAx>
      <c:valAx>
        <c:axId val="33047833"/>
        <c:scaling>
          <c:orientation val="minMax"/>
          <c:max val="0.5"/>
        </c:scaling>
        <c:delete val="0"/>
        <c:axPos val="l"/>
        <c:majorGridlines>
          <c:spPr>
            <a:ln w="9525">
              <a:solidFill>
                <a:schemeClr val="tx1">
                  <a:lumMod val="15000"/>
                  <a:lumOff val="85000"/>
                </a:schemeClr>
              </a:solidFill>
              <a:round/>
            </a:ln>
          </c:spPr>
        </c:majorGridlines>
        <c:numFmt formatCode="#,##0.00" sourceLinked="0"/>
        <c:majorTickMark val="none"/>
        <c:minorTickMark val="none"/>
        <c:tickLblPos val="nextTo"/>
        <c:spPr>
          <a:noFill/>
          <a:ln w="6350">
            <a:noFill/>
          </a:ln>
        </c:spPr>
        <c:txPr>
          <a:bodyPr/>
          <a:lstStyle/>
          <a:p>
            <a:pPr>
              <a:defRPr lang="en-US" sz="700" b="0" u="none" baseline="0">
                <a:solidFill>
                  <a:schemeClr val="tx1"/>
                </a:solidFill>
                <a:latin typeface="Arial"/>
                <a:ea typeface="Arial"/>
                <a:cs typeface="Arial"/>
              </a:defRPr>
            </a:pPr>
          </a:p>
        </c:txPr>
        <c:crossAx val="14030734"/>
        <c:crosses val="autoZero"/>
        <c:crossBetween val="between"/>
        <c:majorUnit val="0.1"/>
      </c:valAx>
      <c:spPr>
        <a:noFill/>
        <a:ln w="25400">
          <a:noFill/>
        </a:ln>
      </c:spPr>
    </c:plotArea>
    <c:plotVisOnly val="1"/>
    <c:dispBlanksAs val="gap"/>
    <c:showDLblsOverMax val="0"/>
  </c:chart>
  <c:spPr>
    <a:solidFill>
      <a:schemeClr val="bg1"/>
    </a:solidFill>
    <a:ln w="9525">
      <a:solidFill>
        <a:schemeClr val="bg1"/>
      </a:solidFill>
      <a:round/>
    </a:ln>
  </c:spPr>
  <c:txPr>
    <a:bodyPr rot="0" vert="horz"/>
    <a:lstStyle/>
    <a:p>
      <a:pPr>
        <a:defRPr lang="en-US" sz="700" b="1" u="none" baseline="0">
          <a:solidFill>
            <a:schemeClr val="tx1"/>
          </a:solidFill>
          <a:latin typeface="Arial"/>
          <a:ea typeface="Arial"/>
          <a:cs typeface="Arial"/>
        </a:defRPr>
      </a:pPr>
    </a:p>
  </c:txPr>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75"/>
          <c:y val="0.132"/>
          <c:w val="0.88325"/>
          <c:h val="0.57225"/>
        </c:manualLayout>
      </c:layout>
      <c:barChart>
        <c:barDir val="col"/>
        <c:grouping val="stacked"/>
        <c:varyColors val="0"/>
        <c:ser>
          <c:idx val="0"/>
          <c:order val="0"/>
          <c:tx>
            <c:v>Other capital expenditures</c:v>
          </c:tx>
          <c:spPr>
            <a:solidFill>
              <a:srgbClr val="0F334A"/>
            </a:solidFill>
            <a:ln w="6350">
              <a:solidFill>
                <a:srgbClr val="0F334A"/>
              </a:solidFill>
            </a:ln>
          </c:spPr>
          <c:invertIfNegative val="0"/>
          <c:dLbls>
            <c:numFmt formatCode="General" sourceLinked="1"/>
            <c:showLegendKey val="0"/>
            <c:showVal val="0"/>
            <c:showCatName val="0"/>
            <c:showSerName val="0"/>
            <c:showPercent val="0"/>
            <c:showBubbleSize val="0"/>
            <c:showLeaderLines val="0"/>
          </c:dLbls>
          <c:cat>
            <c:numRef>
              <c:f>Bruttoinvestoinnit!$B$6:$B$10</c:f>
              <c:numCache>
                <c:formatCode>General</c:formatCode>
                <c:ptCount val="5"/>
                <c:pt idx="0">
                  <c:v>2016</c:v>
                </c:pt>
                <c:pt idx="1">
                  <c:v>2017</c:v>
                </c:pt>
                <c:pt idx="2">
                  <c:v>2018</c:v>
                </c:pt>
                <c:pt idx="3">
                  <c:v>2019</c:v>
                </c:pt>
                <c:pt idx="4">
                  <c:v>2020</c:v>
                </c:pt>
              </c:numCache>
            </c:numRef>
          </c:cat>
          <c:val>
            <c:numRef>
              <c:f>Bruttoinvestoinnit!$E$6:$E$10</c:f>
              <c:numCache>
                <c:formatCode>General</c:formatCode>
                <c:ptCount val="5"/>
                <c:pt idx="0">
                  <c:v>55</c:v>
                </c:pt>
                <c:pt idx="1">
                  <c:v>64</c:v>
                </c:pt>
                <c:pt idx="2">
                  <c:v>110</c:v>
                </c:pt>
                <c:pt idx="3">
                  <c:v>116</c:v>
                </c:pt>
                <c:pt idx="4">
                  <c:v>115</c:v>
                </c:pt>
              </c:numCache>
            </c:numRef>
          </c:val>
          <c:extLst>
            <c:ext xmlns:c="http://schemas.openxmlformats.org/drawingml/2006/chart" xmlns:c16="http://schemas.microsoft.com/office/drawing/2014/chart" uri="{C3380CC4-5D6E-409C-BE32-E72D297353CC}">
              <c16:uniqueId val="{00000000-961C-4FB3-ABD5-F202BA61C6E8}"/>
            </c:ext>
          </c:extLst>
        </c:ser>
        <c:ser>
          <c:idx val="1"/>
          <c:order val="1"/>
          <c:tx>
            <c:v>Related to acquisitions</c:v>
          </c:tx>
          <c:spPr>
            <a:solidFill>
              <a:srgbClr val="CCCCCC"/>
            </a:solidFill>
            <a:ln w="6350">
              <a:solidFill>
                <a:srgbClr val="CCCCCC"/>
              </a:solidFill>
            </a:ln>
          </c:spPr>
          <c:invertIfNegative val="0"/>
          <c:dLbls>
            <c:numFmt formatCode="General" sourceLinked="1"/>
            <c:showLegendKey val="0"/>
            <c:showVal val="0"/>
            <c:showCatName val="0"/>
            <c:showSerName val="0"/>
            <c:showPercent val="0"/>
            <c:showBubbleSize val="0"/>
            <c:showLeaderLines val="0"/>
          </c:dLbls>
          <c:cat>
            <c:numRef>
              <c:f>Bruttoinvestoinnit!$B$6:$B$10</c:f>
              <c:numCache>
                <c:formatCode>General</c:formatCode>
                <c:ptCount val="5"/>
                <c:pt idx="0">
                  <c:v>2016</c:v>
                </c:pt>
                <c:pt idx="1">
                  <c:v>2017</c:v>
                </c:pt>
                <c:pt idx="2">
                  <c:v>2018</c:v>
                </c:pt>
                <c:pt idx="3">
                  <c:v>2019</c:v>
                </c:pt>
                <c:pt idx="4">
                  <c:v>2020</c:v>
                </c:pt>
              </c:numCache>
            </c:numRef>
          </c:cat>
          <c:val>
            <c:numRef>
              <c:f>Bruttoinvestoinnit!$I$6:$I$10</c:f>
              <c:numCache>
                <c:formatCode>General</c:formatCode>
                <c:ptCount val="5"/>
                <c:pt idx="0">
                  <c:v>91</c:v>
                </c:pt>
                <c:pt idx="1">
                  <c:v>191</c:v>
                </c:pt>
                <c:pt idx="2">
                  <c:v>196</c:v>
                </c:pt>
                <c:pt idx="3">
                  <c:v>6</c:v>
                </c:pt>
                <c:pt idx="4">
                  <c:v>2</c:v>
                </c:pt>
              </c:numCache>
            </c:numRef>
          </c:val>
          <c:extLst>
            <c:ext xmlns:c="http://schemas.openxmlformats.org/drawingml/2006/chart" xmlns:c16="http://schemas.microsoft.com/office/drawing/2014/chart" uri="{C3380CC4-5D6E-409C-BE32-E72D297353CC}">
              <c16:uniqueId val="{00000001-961C-4FB3-ABD5-F202BA61C6E8}"/>
            </c:ext>
          </c:extLst>
        </c:ser>
        <c:gapWidth val="500"/>
        <c:overlap val="100"/>
        <c:axId val="23880604"/>
        <c:axId val="63734409"/>
      </c:barChart>
      <c:lineChart>
        <c:grouping val="standard"/>
        <c:varyColors val="0"/>
        <c:ser>
          <c:idx val="2"/>
          <c:order val="2"/>
          <c:tx>
            <c:v>Depreciation, amortisation, and impairment</c:v>
          </c:tx>
          <c:spPr>
            <a:ln w="22225" cap="rnd">
              <a:solidFill>
                <a:srgbClr val="FF7321"/>
              </a:solidFill>
              <a:round/>
            </a:ln>
          </c:spPr>
          <c:marker>
            <c:symbol val="none"/>
          </c:marker>
          <c:dLbls>
            <c:numFmt formatCode="General" sourceLinked="1"/>
            <c:showLegendKey val="0"/>
            <c:showVal val="0"/>
            <c:showCatName val="0"/>
            <c:showSerName val="0"/>
            <c:showPercent val="0"/>
            <c:showBubbleSize val="0"/>
            <c:showLeaderLines val="0"/>
          </c:dLbls>
          <c:cat>
            <c:numRef>
              <c:f>Bruttoinvestoinnit!$B$6:$B$10</c:f>
              <c:numCache>
                <c:formatCode>General</c:formatCode>
                <c:ptCount val="5"/>
                <c:pt idx="0">
                  <c:v>2016</c:v>
                </c:pt>
                <c:pt idx="1">
                  <c:v>2017</c:v>
                </c:pt>
                <c:pt idx="2">
                  <c:v>2018</c:v>
                </c:pt>
                <c:pt idx="3">
                  <c:v>2019</c:v>
                </c:pt>
                <c:pt idx="4">
                  <c:v>2020</c:v>
                </c:pt>
              </c:numCache>
            </c:numRef>
          </c:cat>
          <c:val>
            <c:numRef>
              <c:f>Bruttoinvestoinnit!$M$6:$M$10</c:f>
              <c:numCache>
                <c:formatCode>General</c:formatCode>
                <c:ptCount val="5"/>
                <c:pt idx="0">
                  <c:v>138</c:v>
                </c:pt>
                <c:pt idx="1">
                  <c:v>134</c:v>
                </c:pt>
                <c:pt idx="2">
                  <c:v>130</c:v>
                </c:pt>
                <c:pt idx="3">
                  <c:v>180</c:v>
                </c:pt>
                <c:pt idx="4">
                  <c:v>174</c:v>
                </c:pt>
              </c:numCache>
            </c:numRef>
          </c:val>
          <c:smooth val="0"/>
          <c:extLst>
            <c:ext xmlns:c="http://schemas.openxmlformats.org/drawingml/2006/chart" xmlns:c16="http://schemas.microsoft.com/office/drawing/2014/chart" uri="{C3380CC4-5D6E-409C-BE32-E72D297353CC}">
              <c16:uniqueId val="{00000002-961C-4FB3-ABD5-F202BA61C6E8}"/>
            </c:ext>
          </c:extLst>
        </c:ser>
        <c:marker val="1"/>
        <c:axId val="23880604"/>
        <c:axId val="63734409"/>
      </c:lineChart>
      <c:catAx>
        <c:axId val="23880604"/>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63734409"/>
        <c:crosses val="autoZero"/>
        <c:auto val="1"/>
        <c:lblOffset val="100"/>
        <c:noMultiLvlLbl val="0"/>
      </c:catAx>
      <c:valAx>
        <c:axId val="63734409"/>
        <c:scaling>
          <c:orientation val="minMax"/>
          <c:max val="400"/>
        </c:scaling>
        <c:delete val="0"/>
        <c:axPos val="l"/>
        <c:majorGridlines>
          <c:spPr>
            <a:ln w="9525">
              <a:solidFill>
                <a:schemeClr val="tx1">
                  <a:lumMod val="15000"/>
                  <a:lumOff val="85000"/>
                </a:schemeClr>
              </a:solidFill>
              <a:round/>
            </a:ln>
          </c:spPr>
        </c:majorGridlines>
        <c:title>
          <c:tx>
            <c:rich>
              <a:bodyPr rot="0" vertOverflow="clip" vert="horz"/>
              <a:lstStyle/>
              <a:p>
                <a:pPr algn="ctr">
                  <a:defRPr/>
                </a:pPr>
                <a:r>
                  <a:rPr lang="en-US" u="none" baseline="0">
                    <a:solidFill>
                      <a:schemeClr val="tx1"/>
                    </a:solidFill>
                    <a:latin typeface="Arial"/>
                    <a:ea typeface="Arial"/>
                    <a:cs typeface="Arial"/>
                  </a:rPr>
                  <a:t>MEUR</a:t>
                </a:r>
              </a:p>
            </c:rich>
          </c:tx>
          <c:layout>
            <c:manualLayout>
              <c:xMode val="edge"/>
              <c:yMode val="edge"/>
              <c:x val="0"/>
              <c:y val="0.00275"/>
            </c:manualLayout>
          </c:layout>
          <c:overlay val="0"/>
          <c:spPr>
            <a:noFill/>
            <a:ln w="6350">
              <a:noFill/>
            </a:ln>
          </c:spPr>
        </c:title>
        <c:numFmt formatCode="General" sourceLinked="1"/>
        <c:majorTickMark val="none"/>
        <c:minorTickMark val="none"/>
        <c:tickLblPos val="nextTo"/>
        <c:spPr>
          <a:noFill/>
          <a:ln w="6350">
            <a:noFill/>
          </a:ln>
        </c:spPr>
        <c:crossAx val="23880604"/>
        <c:crosses val="autoZero"/>
        <c:crossBetween val="between"/>
        <c:majorUnit val="100"/>
      </c:valAx>
      <c:spPr>
        <a:noFill/>
        <a:ln w="6350">
          <a:noFill/>
        </a:ln>
      </c:spPr>
    </c:plotArea>
    <c:legend>
      <c:legendPos val="b"/>
      <c:layout>
        <c:manualLayout>
          <c:xMode val="edge"/>
          <c:yMode val="edge"/>
          <c:x val="0.0245"/>
          <c:y val="0.812"/>
          <c:w val="0.668"/>
          <c:h val="0.18225"/>
        </c:manualLayout>
      </c:layout>
      <c:overlay val="0"/>
      <c:spPr>
        <a:noFill/>
        <a:ln w="6350">
          <a:noFill/>
        </a:ln>
      </c:spPr>
    </c:legend>
    <c:plotVisOnly val="1"/>
    <c:dispBlanksAs val="gap"/>
    <c:showDLblsOverMax val="0"/>
  </c:chart>
  <c:spPr>
    <a:solidFill>
      <a:schemeClr val="bg1"/>
    </a:solidFill>
    <a:ln w="9525">
      <a:solidFill>
        <a:schemeClr val="bg1"/>
      </a:solidFill>
      <a:round/>
    </a:ln>
  </c:spPr>
  <c:txPr>
    <a:bodyPr rot="0" vert="horz"/>
    <a:lstStyle/>
    <a:p>
      <a:pPr>
        <a:defRPr lang="en-US" sz="700" u="none" baseline="0">
          <a:solidFill>
            <a:schemeClr val="tx1"/>
          </a:solidFill>
          <a:latin typeface="Arial"/>
          <a:ea typeface="Arial"/>
          <a:cs typeface="Arial"/>
        </a:defRPr>
      </a:pPr>
    </a:p>
  </c:txPr>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25"/>
          <c:y val="0.1755"/>
          <c:w val="0.81125"/>
          <c:h val="0.5825"/>
        </c:manualLayout>
      </c:layout>
      <c:barChart>
        <c:barDir val="col"/>
        <c:grouping val="clustered"/>
        <c:varyColors val="0"/>
        <c:ser>
          <c:idx val="0"/>
          <c:order val="0"/>
          <c:tx>
            <c:v>R&amp;D expenditure</c:v>
          </c:tx>
          <c:spPr>
            <a:solidFill>
              <a:srgbClr val="0F334A"/>
            </a:solidFill>
            <a:ln w="6350">
              <a:solidFill>
                <a:srgbClr val="0F334A"/>
              </a:solidFill>
            </a:ln>
          </c:spPr>
          <c:invertIfNegative val="0"/>
          <c:dLbls>
            <c:numFmt formatCode="General" sourceLinked="1"/>
            <c:showLegendKey val="0"/>
            <c:showVal val="0"/>
            <c:showCatName val="0"/>
            <c:showSerName val="0"/>
            <c:showPercent val="0"/>
            <c:showBubbleSize val="0"/>
            <c:showLeaderLines val="0"/>
          </c:dLbls>
          <c:cat>
            <c:numRef>
              <c:f>'Tutkimus- ja kehitysmenot'!$B$6:$B$10</c:f>
              <c:numCache>
                <c:formatCode>General</c:formatCode>
                <c:ptCount val="5"/>
                <c:pt idx="0">
                  <c:v>2016</c:v>
                </c:pt>
                <c:pt idx="1">
                  <c:v>2017</c:v>
                </c:pt>
                <c:pt idx="2">
                  <c:v>2018</c:v>
                </c:pt>
                <c:pt idx="3">
                  <c:v>2019</c:v>
                </c:pt>
                <c:pt idx="4">
                  <c:v>2020</c:v>
                </c:pt>
              </c:numCache>
            </c:numRef>
          </c:cat>
          <c:val>
            <c:numRef>
              <c:f>'Tutkimus- ja kehitysmenot'!$E$6:$E$10</c:f>
              <c:numCache>
                <c:formatCode>General</c:formatCode>
                <c:ptCount val="5"/>
                <c:pt idx="0">
                  <c:v>131</c:v>
                </c:pt>
                <c:pt idx="1">
                  <c:v>141</c:v>
                </c:pt>
                <c:pt idx="2">
                  <c:v>165</c:v>
                </c:pt>
                <c:pt idx="3">
                  <c:v>164</c:v>
                </c:pt>
                <c:pt idx="4">
                  <c:v>153</c:v>
                </c:pt>
              </c:numCache>
            </c:numRef>
          </c:val>
          <c:extLst>
            <c:ext xmlns:c="http://schemas.openxmlformats.org/drawingml/2006/chart" xmlns:c16="http://schemas.microsoft.com/office/drawing/2014/chart" uri="{C3380CC4-5D6E-409C-BE32-E72D297353CC}">
              <c16:uniqueId val="{00000000-B538-4082-B464-187FF6F19124}"/>
            </c:ext>
          </c:extLst>
        </c:ser>
        <c:gapWidth val="500"/>
        <c:axId val="20433844"/>
        <c:axId val="48112504"/>
      </c:barChart>
      <c:lineChart>
        <c:grouping val="standard"/>
        <c:varyColors val="0"/>
        <c:ser>
          <c:idx val="1"/>
          <c:order val="1"/>
          <c:tx>
            <c:v>Percentage of net sales</c:v>
          </c:tx>
          <c:spPr>
            <a:ln w="22225" cap="rnd">
              <a:solidFill>
                <a:srgbClr val="FF7321"/>
              </a:solidFill>
              <a:round/>
            </a:ln>
          </c:spPr>
          <c:marker>
            <c:symbol val="none"/>
          </c:marker>
          <c:dLbls>
            <c:numFmt formatCode="General" sourceLinked="1"/>
            <c:showLegendKey val="0"/>
            <c:showVal val="0"/>
            <c:showCatName val="0"/>
            <c:showSerName val="0"/>
            <c:showPercent val="0"/>
            <c:showBubbleSize val="0"/>
            <c:showLeaderLines val="0"/>
          </c:dLbls>
          <c:cat>
            <c:numRef>
              <c:f>'Tutkimus- ja kehitysmenot'!$B$6:$B$10</c:f>
              <c:numCache>
                <c:formatCode>General</c:formatCode>
                <c:ptCount val="5"/>
                <c:pt idx="0">
                  <c:v>2016</c:v>
                </c:pt>
                <c:pt idx="1">
                  <c:v>2017</c:v>
                </c:pt>
                <c:pt idx="2">
                  <c:v>2018</c:v>
                </c:pt>
                <c:pt idx="3">
                  <c:v>2019</c:v>
                </c:pt>
                <c:pt idx="4">
                  <c:v>2020</c:v>
                </c:pt>
              </c:numCache>
            </c:numRef>
          </c:cat>
          <c:val>
            <c:numRef>
              <c:f>'Tutkimus- ja kehitysmenot'!$I$6:$I$10</c:f>
              <c:numCache>
                <c:formatCode>General</c:formatCode>
                <c:ptCount val="5"/>
                <c:pt idx="0">
                  <c:v>2.7</c:v>
                </c:pt>
                <c:pt idx="1">
                  <c:v>2.9</c:v>
                </c:pt>
                <c:pt idx="2" formatCode="0.0">
                  <c:v>3.2</c:v>
                </c:pt>
                <c:pt idx="3">
                  <c:v>3.2</c:v>
                </c:pt>
                <c:pt idx="4">
                  <c:v>3.3</c:v>
                </c:pt>
              </c:numCache>
            </c:numRef>
          </c:val>
          <c:smooth val="0"/>
          <c:extLst>
            <c:ext xmlns:c="http://schemas.openxmlformats.org/drawingml/2006/chart" xmlns:c16="http://schemas.microsoft.com/office/drawing/2014/chart" uri="{C3380CC4-5D6E-409C-BE32-E72D297353CC}">
              <c16:uniqueId val="{00000001-B538-4082-B464-187FF6F19124}"/>
            </c:ext>
          </c:extLst>
        </c:ser>
        <c:marker val="1"/>
        <c:axId val="45798021"/>
        <c:axId val="58671276"/>
      </c:lineChart>
      <c:catAx>
        <c:axId val="20433844"/>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48112504"/>
        <c:crosses val="autoZero"/>
        <c:auto val="1"/>
        <c:lblOffset val="100"/>
        <c:noMultiLvlLbl val="0"/>
      </c:catAx>
      <c:valAx>
        <c:axId val="48112504"/>
        <c:scaling>
          <c:orientation val="minMax"/>
          <c:max val="200"/>
        </c:scaling>
        <c:delete val="0"/>
        <c:axPos val="l"/>
        <c:majorGridlines>
          <c:spPr>
            <a:ln w="9525">
              <a:solidFill>
                <a:schemeClr val="tx1">
                  <a:lumMod val="15000"/>
                  <a:lumOff val="85000"/>
                </a:schemeClr>
              </a:solidFill>
              <a:round/>
            </a:ln>
          </c:spPr>
        </c:majorGridlines>
        <c:title>
          <c:tx>
            <c:rich>
              <a:bodyPr rot="0" vertOverflow="clip" vert="horz"/>
              <a:lstStyle/>
              <a:p>
                <a:pPr algn="ctr">
                  <a:defRPr/>
                </a:pPr>
                <a:r>
                  <a:rPr lang="en-US" u="none" baseline="0">
                    <a:solidFill>
                      <a:schemeClr val="tx1"/>
                    </a:solidFill>
                    <a:latin typeface="Arial"/>
                    <a:ea typeface="Arial"/>
                    <a:cs typeface="Arial"/>
                  </a:rPr>
                  <a:t>MEUR</a:t>
                </a:r>
              </a:p>
            </c:rich>
          </c:tx>
          <c:layout>
            <c:manualLayout>
              <c:xMode val="edge"/>
              <c:yMode val="edge"/>
              <c:x val="0"/>
              <c:y val="0.00275"/>
            </c:manualLayout>
          </c:layout>
          <c:overlay val="0"/>
          <c:spPr>
            <a:noFill/>
            <a:ln w="6350">
              <a:noFill/>
            </a:ln>
          </c:spPr>
        </c:title>
        <c:numFmt formatCode="General" sourceLinked="1"/>
        <c:majorTickMark val="none"/>
        <c:minorTickMark val="none"/>
        <c:tickLblPos val="nextTo"/>
        <c:spPr>
          <a:noFill/>
          <a:ln w="6350">
            <a:noFill/>
          </a:ln>
        </c:spPr>
        <c:crossAx val="20433844"/>
        <c:crosses val="autoZero"/>
        <c:crossBetween val="between"/>
        <c:majorUnit val="50"/>
      </c:valAx>
      <c:catAx>
        <c:axId val="45798021"/>
        <c:scaling>
          <c:orientation val="minMax"/>
        </c:scaling>
        <c:delete val="1"/>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58671276"/>
        <c:crosses val="autoZero"/>
        <c:auto val="1"/>
        <c:lblOffset val="100"/>
        <c:noMultiLvlLbl val="0"/>
      </c:catAx>
      <c:valAx>
        <c:axId val="58671276"/>
        <c:scaling>
          <c:orientation val="minMax"/>
          <c:max val="4"/>
          <c:min val="0"/>
        </c:scaling>
        <c:delete val="0"/>
        <c:axPos val="l"/>
        <c:title>
          <c:tx>
            <c:rich>
              <a:bodyPr rot="0" vertOverflow="clip" vert="horz"/>
              <a:lstStyle/>
              <a:p>
                <a:pPr algn="ctr">
                  <a:defRPr/>
                </a:pPr>
                <a:r>
                  <a:rPr lang="en-US" u="none" baseline="0">
                    <a:solidFill>
                      <a:schemeClr val="tx1"/>
                    </a:solidFill>
                    <a:latin typeface="Arial"/>
                    <a:ea typeface="Arial"/>
                    <a:cs typeface="Arial"/>
                  </a:rPr>
                  <a:t>%</a:t>
                </a:r>
              </a:p>
            </c:rich>
          </c:tx>
          <c:layout>
            <c:manualLayout>
              <c:xMode val="edge"/>
              <c:yMode val="edge"/>
              <c:x val="0.92975"/>
              <c:y val="0.01325"/>
            </c:manualLayout>
          </c:layout>
          <c:overlay val="0"/>
          <c:spPr>
            <a:noFill/>
            <a:ln w="6350">
              <a:noFill/>
            </a:ln>
          </c:spPr>
        </c:title>
        <c:numFmt formatCode="#,##0.0" sourceLinked="0"/>
        <c:majorTickMark val="out"/>
        <c:minorTickMark val="none"/>
        <c:tickLblPos val="nextTo"/>
        <c:spPr>
          <a:noFill/>
          <a:ln w="6350">
            <a:noFill/>
          </a:ln>
        </c:spPr>
        <c:crossAx val="45798021"/>
        <c:crosses val="max"/>
        <c:crossBetween val="between"/>
        <c:majorUnit val="1"/>
      </c:valAx>
      <c:spPr>
        <a:noFill/>
        <a:ln w="25400">
          <a:noFill/>
        </a:ln>
      </c:spPr>
    </c:plotArea>
    <c:legend>
      <c:legendPos val="b"/>
      <c:layout>
        <c:manualLayout>
          <c:xMode val="edge"/>
          <c:yMode val="edge"/>
          <c:x val="0.00075"/>
          <c:y val="0.88975"/>
          <c:w val="0.69425"/>
          <c:h val="0.10725"/>
        </c:manualLayout>
      </c:layout>
      <c:overlay val="0"/>
      <c:spPr>
        <a:noFill/>
        <a:ln w="6350">
          <a:noFill/>
        </a:ln>
      </c:spPr>
    </c:legend>
    <c:plotVisOnly val="1"/>
    <c:dispBlanksAs val="gap"/>
    <c:showDLblsOverMax val="0"/>
  </c:chart>
  <c:spPr>
    <a:solidFill>
      <a:schemeClr val="bg1"/>
    </a:solidFill>
    <a:ln w="9525">
      <a:solidFill>
        <a:schemeClr val="bg1"/>
      </a:solidFill>
      <a:round/>
    </a:ln>
  </c:spPr>
  <c:txPr>
    <a:bodyPr rot="0" vert="horz"/>
    <a:lstStyle/>
    <a:p>
      <a:pPr>
        <a:defRPr lang="en-US" sz="700" u="none" baseline="0">
          <a:solidFill>
            <a:schemeClr val="tx1"/>
          </a:solidFill>
          <a:latin typeface="Arial"/>
          <a:ea typeface="Arial"/>
          <a:cs typeface="Arial"/>
        </a:defRPr>
      </a:pPr>
    </a:p>
  </c:txPr>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1"/>
          <c:y val="0.14"/>
          <c:w val="0.827"/>
          <c:h val="0.593"/>
        </c:manualLayout>
      </c:layout>
      <c:barChart>
        <c:barDir val="col"/>
        <c:grouping val="clustered"/>
        <c:varyColors val="0"/>
        <c:ser>
          <c:idx val="0"/>
          <c:order val="0"/>
          <c:tx>
            <c:v>Personnel at the end of the financial period</c:v>
          </c:tx>
          <c:spPr>
            <a:solidFill>
              <a:srgbClr val="0F334A"/>
            </a:solidFill>
            <a:ln w="6350">
              <a:solidFill>
                <a:srgbClr val="0F334A"/>
              </a:solidFill>
            </a:ln>
          </c:spPr>
          <c:invertIfNegative val="0"/>
          <c:dLbls>
            <c:numFmt formatCode="General" sourceLinked="1"/>
            <c:showLegendKey val="0"/>
            <c:showVal val="0"/>
            <c:showCatName val="0"/>
            <c:showSerName val="0"/>
            <c:showPercent val="0"/>
            <c:showBubbleSize val="0"/>
            <c:showLeaderLines val="0"/>
          </c:dLbls>
          <c:cat>
            <c:numRef>
              <c:f>Henkilöstö!$B$6:$B$10</c:f>
              <c:numCache>
                <c:formatCode>General</c:formatCode>
                <c:ptCount val="5"/>
                <c:pt idx="0">
                  <c:v>2016</c:v>
                </c:pt>
                <c:pt idx="1">
                  <c:v>2017</c:v>
                </c:pt>
                <c:pt idx="2">
                  <c:v>2018</c:v>
                </c:pt>
                <c:pt idx="3">
                  <c:v>2019</c:v>
                </c:pt>
                <c:pt idx="4">
                  <c:v>2020</c:v>
                </c:pt>
              </c:numCache>
            </c:numRef>
          </c:cat>
          <c:val>
            <c:numRef>
              <c:f>Henkilöstö!$E$6:$E$10</c:f>
              <c:numCache>
                <c:formatCode>#,##0</c:formatCode>
                <c:ptCount val="5"/>
                <c:pt idx="0">
                  <c:v>18011</c:v>
                </c:pt>
                <c:pt idx="1">
                  <c:v>18065</c:v>
                </c:pt>
                <c:pt idx="2">
                  <c:v>19294</c:v>
                </c:pt>
                <c:pt idx="3">
                  <c:v>18795</c:v>
                </c:pt>
                <c:pt idx="4">
                  <c:v>17792</c:v>
                </c:pt>
              </c:numCache>
            </c:numRef>
          </c:val>
          <c:extLst>
            <c:ext xmlns:c="http://schemas.openxmlformats.org/drawingml/2006/chart" xmlns:c16="http://schemas.microsoft.com/office/drawing/2014/chart" uri="{C3380CC4-5D6E-409C-BE32-E72D297353CC}">
              <c16:uniqueId val="{00000000-CB04-4FCD-92A7-7B32DA8313C3}"/>
            </c:ext>
          </c:extLst>
        </c:ser>
        <c:gapWidth val="500"/>
        <c:axId val="53127745"/>
        <c:axId val="30480091"/>
      </c:barChart>
      <c:lineChart>
        <c:grouping val="standard"/>
        <c:varyColors val="0"/>
        <c:ser>
          <c:idx val="1"/>
          <c:order val="1"/>
          <c:tx>
            <c:v>Personnel on average</c:v>
          </c:tx>
          <c:spPr>
            <a:ln w="22225" cap="rnd">
              <a:solidFill>
                <a:schemeClr val="accent3"/>
              </a:solidFill>
              <a:round/>
            </a:ln>
          </c:spPr>
          <c:marker>
            <c:symbol val="none"/>
          </c:marker>
          <c:dLbls>
            <c:numFmt formatCode="General" sourceLinked="1"/>
            <c:showLegendKey val="0"/>
            <c:showVal val="0"/>
            <c:showCatName val="0"/>
            <c:showSerName val="0"/>
            <c:showPercent val="0"/>
            <c:showBubbleSize val="0"/>
            <c:showLeaderLines val="0"/>
          </c:dLbls>
          <c:cat>
            <c:numRef>
              <c:f>Henkilöstö!$B$6:$B$10</c:f>
              <c:numCache>
                <c:formatCode>General</c:formatCode>
                <c:ptCount val="5"/>
                <c:pt idx="0">
                  <c:v>2016</c:v>
                </c:pt>
                <c:pt idx="1">
                  <c:v>2017</c:v>
                </c:pt>
                <c:pt idx="2">
                  <c:v>2018</c:v>
                </c:pt>
                <c:pt idx="3">
                  <c:v>2019</c:v>
                </c:pt>
                <c:pt idx="4">
                  <c:v>2020</c:v>
                </c:pt>
              </c:numCache>
            </c:numRef>
          </c:cat>
          <c:val>
            <c:numRef>
              <c:f>Henkilöstö!$I$6:$I$10</c:f>
              <c:numCache>
                <c:formatCode>#,##0</c:formatCode>
                <c:ptCount val="5"/>
                <c:pt idx="0">
                  <c:v>18332</c:v>
                </c:pt>
                <c:pt idx="1">
                  <c:v>17866</c:v>
                </c:pt>
                <c:pt idx="2">
                  <c:v>18899</c:v>
                </c:pt>
                <c:pt idx="3">
                  <c:v>19110</c:v>
                </c:pt>
                <c:pt idx="4">
                  <c:v>18307</c:v>
                </c:pt>
              </c:numCache>
            </c:numRef>
          </c:val>
          <c:smooth val="0"/>
          <c:extLst>
            <c:ext xmlns:c="http://schemas.openxmlformats.org/drawingml/2006/chart" xmlns:c16="http://schemas.microsoft.com/office/drawing/2014/chart" uri="{C3380CC4-5D6E-409C-BE32-E72D297353CC}">
              <c16:uniqueId val="{00000001-CB04-4FCD-92A7-7B32DA8313C3}"/>
            </c:ext>
          </c:extLst>
        </c:ser>
        <c:ser>
          <c:idx val="2"/>
          <c:order val="2"/>
          <c:tx>
            <c:v>Personnel in Finland</c:v>
          </c:tx>
          <c:spPr>
            <a:ln w="22225" cap="rnd">
              <a:solidFill>
                <a:srgbClr val="FF7321"/>
              </a:solidFill>
              <a:round/>
            </a:ln>
          </c:spPr>
          <c:marker>
            <c:symbol val="none"/>
          </c:marker>
          <c:dLbls>
            <c:numFmt formatCode="General" sourceLinked="1"/>
            <c:showLegendKey val="0"/>
            <c:showVal val="0"/>
            <c:showCatName val="0"/>
            <c:showSerName val="0"/>
            <c:showPercent val="0"/>
            <c:showBubbleSize val="0"/>
            <c:showLeaderLines val="0"/>
          </c:dLbls>
          <c:cat>
            <c:numRef>
              <c:f>Henkilöstö!$B$6:$B$10</c:f>
              <c:numCache>
                <c:formatCode>General</c:formatCode>
                <c:ptCount val="5"/>
                <c:pt idx="0">
                  <c:v>2016</c:v>
                </c:pt>
                <c:pt idx="1">
                  <c:v>2017</c:v>
                </c:pt>
                <c:pt idx="2">
                  <c:v>2018</c:v>
                </c:pt>
                <c:pt idx="3">
                  <c:v>2019</c:v>
                </c:pt>
                <c:pt idx="4">
                  <c:v>2020</c:v>
                </c:pt>
              </c:numCache>
            </c:numRef>
          </c:cat>
          <c:val>
            <c:numRef>
              <c:f>Henkilöstö!$M$6:$M$10</c:f>
              <c:numCache>
                <c:formatCode>#,##0</c:formatCode>
                <c:ptCount val="5"/>
                <c:pt idx="0">
                  <c:v>3482</c:v>
                </c:pt>
                <c:pt idx="1">
                  <c:v>3521</c:v>
                </c:pt>
                <c:pt idx="2">
                  <c:v>3766</c:v>
                </c:pt>
                <c:pt idx="3">
                  <c:v>3868</c:v>
                </c:pt>
                <c:pt idx="4">
                  <c:v>3706</c:v>
                </c:pt>
              </c:numCache>
            </c:numRef>
          </c:val>
          <c:smooth val="0"/>
          <c:extLst>
            <c:ext xmlns:c="http://schemas.openxmlformats.org/drawingml/2006/chart" xmlns:c16="http://schemas.microsoft.com/office/drawing/2014/chart" uri="{C3380CC4-5D6E-409C-BE32-E72D297353CC}">
              <c16:uniqueId val="{00000003-CB04-4FCD-92A7-7B32DA8313C3}"/>
            </c:ext>
          </c:extLst>
        </c:ser>
        <c:marker val="1"/>
        <c:axId val="53127745"/>
        <c:axId val="30480091"/>
      </c:lineChart>
      <c:catAx>
        <c:axId val="53127745"/>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30480091"/>
        <c:crosses val="autoZero"/>
        <c:auto val="1"/>
        <c:lblOffset val="100"/>
        <c:noMultiLvlLbl val="0"/>
      </c:catAx>
      <c:valAx>
        <c:axId val="30480091"/>
        <c:scaling>
          <c:orientation val="minMax"/>
          <c:max val="20000"/>
        </c:scaling>
        <c:delete val="0"/>
        <c:axPos val="l"/>
        <c:majorGridlines>
          <c:spPr>
            <a:ln w="9525">
              <a:solidFill>
                <a:schemeClr val="tx1">
                  <a:lumMod val="15000"/>
                  <a:lumOff val="85000"/>
                </a:schemeClr>
              </a:solidFill>
              <a:round/>
            </a:ln>
          </c:spPr>
        </c:majorGridlines>
        <c:numFmt formatCode="#,##0" sourceLinked="0"/>
        <c:majorTickMark val="none"/>
        <c:minorTickMark val="none"/>
        <c:tickLblPos val="nextTo"/>
        <c:spPr>
          <a:noFill/>
          <a:ln w="6350">
            <a:noFill/>
          </a:ln>
        </c:spPr>
        <c:crossAx val="53127745"/>
        <c:crosses val="autoZero"/>
        <c:crossBetween val="between"/>
        <c:majorUnit val="5000"/>
      </c:valAx>
      <c:spPr>
        <a:noFill/>
        <a:ln w="25400">
          <a:noFill/>
        </a:ln>
      </c:spPr>
    </c:plotArea>
    <c:legend>
      <c:legendPos val="b"/>
      <c:layout>
        <c:manualLayout>
          <c:xMode val="edge"/>
          <c:yMode val="edge"/>
          <c:x val="0.097"/>
          <c:y val="0.84375"/>
          <c:w val="0.76925"/>
          <c:h val="0.1535"/>
        </c:manualLayout>
      </c:layout>
      <c:overlay val="0"/>
      <c:spPr>
        <a:noFill/>
        <a:ln w="6350">
          <a:noFill/>
        </a:ln>
      </c:spPr>
    </c:legend>
    <c:plotVisOnly val="1"/>
    <c:dispBlanksAs val="gap"/>
    <c:showDLblsOverMax val="0"/>
  </c:chart>
  <c:spPr>
    <a:solidFill>
      <a:schemeClr val="bg1"/>
    </a:solidFill>
    <a:ln w="9525">
      <a:solidFill>
        <a:schemeClr val="bg1"/>
      </a:solidFill>
      <a:round/>
    </a:ln>
  </c:spPr>
  <c:txPr>
    <a:bodyPr rot="0" vert="horz"/>
    <a:lstStyle/>
    <a:p>
      <a:pPr>
        <a:defRPr lang="en-US" sz="700" u="none" baseline="0">
          <a:solidFill>
            <a:schemeClr val="tx1"/>
          </a:solidFill>
          <a:latin typeface="Arial"/>
          <a:ea typeface="Arial"/>
          <a:cs typeface="Arial"/>
        </a:defRPr>
      </a:pPr>
    </a:p>
  </c:txPr>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
          <c:y val="0.14375"/>
          <c:w val="0.89"/>
          <c:h val="0.58825"/>
        </c:manualLayout>
      </c:layout>
      <c:barChart>
        <c:barDir val="col"/>
        <c:grouping val="stacked"/>
        <c:varyColors val="0"/>
        <c:ser>
          <c:idx val="0"/>
          <c:order val="0"/>
          <c:tx>
            <c:v>Dividend per share</c:v>
          </c:tx>
          <c:spPr>
            <a:solidFill>
              <a:srgbClr val="0F334A"/>
            </a:solidFill>
            <a:ln w="6350">
              <a:solidFill>
                <a:srgbClr val="0F334A"/>
              </a:solidFill>
            </a:ln>
          </c:spPr>
          <c:invertIfNegative val="0"/>
          <c:dLbls>
            <c:dLbl>
              <c:idx val="0"/>
              <c:layout>
                <c:manualLayout>
                  <c:x val="0"/>
                  <c:y val="-0.10775"/>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1"/>
              <c:layout>
                <c:manualLayout>
                  <c:x val="0"/>
                  <c:y val="-0.114"/>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2"/>
              <c:layout>
                <c:manualLayout>
                  <c:x val="0"/>
                  <c:y val="-0.1205"/>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3"/>
              <c:layout>
                <c:manualLayout>
                  <c:x val="0"/>
                  <c:y val="-0.133"/>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4"/>
              <c:layout>
                <c:manualLayout>
                  <c:x val="0"/>
                  <c:y val="-0.1395"/>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5"/>
              <c:layout>
                <c:manualLayout>
                  <c:x val="0"/>
                  <c:y val="-0.14575"/>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6"/>
              <c:layout>
                <c:manualLayout>
                  <c:x val="0"/>
                  <c:y val="-0.15225"/>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7"/>
              <c:layout>
                <c:manualLayout>
                  <c:x val="0"/>
                  <c:y val="-0.1585"/>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8"/>
              <c:layout>
                <c:manualLayout>
                  <c:x val="0"/>
                  <c:y val="-0.1585"/>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dLbl>
              <c:idx val="9"/>
              <c:layout>
                <c:manualLayout>
                  <c:x val="0"/>
                  <c:y val="-0.12025"/>
                </c:manualLayout>
              </c:layout>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extLst>
                <c:ext xmlns:c15="http://schemas.microsoft.com/office/drawing/2012/chart" uri="{CE6537A1-D6FC-4f65-9D91-7224C49458BB}">
                  <c15:showDataLabelsRange val="0"/>
                </c:ext>
              </c:extLst>
            </c:dLbl>
            <c:numFmt formatCode="General" sourceLinked="1"/>
            <c:spPr>
              <a:noFill/>
              <a:ln w="6350">
                <a:noFill/>
              </a:ln>
            </c:spPr>
            <c:txPr>
              <a:bodyPr rot="0" vert="horz">
                <a:spAutoFit/>
              </a:bodyPr>
              <a:lstStyle/>
              <a:p>
                <a:pPr algn="ctr">
                  <a:defRPr lang="en-US" sz="600" u="none" baseline="0">
                    <a:solidFill>
                      <a:schemeClr val="tx1"/>
                    </a:solidFill>
                    <a:latin typeface="Arial"/>
                    <a:ea typeface="Arial"/>
                    <a:cs typeface="Arial"/>
                  </a:defRPr>
                </a:pPr>
              </a:p>
            </c:txPr>
            <c:showLegendKey val="0"/>
            <c:showVal val="1"/>
            <c:showCatName val="0"/>
            <c:showSerName val="0"/>
            <c:showPercent val="0"/>
            <c:showBubbleSize val="0"/>
            <c:showLeaderLines val="0"/>
            <c:extLst>
              <c:ext xmlns:c15="http://schemas.microsoft.com/office/drawing/2012/chart" uri="{CE6537A1-D6FC-4f65-9D91-7224C49458BB}"/>
            </c:extLst>
          </c:dLbls>
          <c:cat>
            <c:numRef>
              <c:f>Osinko!$B$6:$B$15</c:f>
              <c:numCache>
                <c:formatCode>General</c:formatCode>
                <c:ptCount val="10"/>
                <c:pt idx="0">
                  <c:v>11</c:v>
                </c:pt>
                <c:pt idx="1">
                  <c:v>12</c:v>
                </c:pt>
                <c:pt idx="2">
                  <c:v>13</c:v>
                </c:pt>
                <c:pt idx="3">
                  <c:v>14</c:v>
                </c:pt>
                <c:pt idx="4">
                  <c:v>15</c:v>
                </c:pt>
                <c:pt idx="5">
                  <c:v>16</c:v>
                </c:pt>
                <c:pt idx="6">
                  <c:v>17</c:v>
                </c:pt>
                <c:pt idx="7">
                  <c:v>18</c:v>
                </c:pt>
                <c:pt idx="8">
                  <c:v>19</c:v>
                </c:pt>
                <c:pt idx="9">
                  <c:v>20</c:v>
                </c:pt>
              </c:numCache>
            </c:numRef>
          </c:cat>
          <c:val>
            <c:numRef>
              <c:f>Osinko!$E$6:$E$15</c:f>
              <c:numCache>
                <c:formatCode>0.00</c:formatCode>
                <c:ptCount val="10"/>
                <c:pt idx="0">
                  <c:v>0.3</c:v>
                </c:pt>
                <c:pt idx="1">
                  <c:v>0.33</c:v>
                </c:pt>
                <c:pt idx="2">
                  <c:v>0.35</c:v>
                </c:pt>
                <c:pt idx="3">
                  <c:v>0.38</c:v>
                </c:pt>
                <c:pt idx="4">
                  <c:v>0.4</c:v>
                </c:pt>
                <c:pt idx="5">
                  <c:v>0.43</c:v>
                </c:pt>
                <c:pt idx="6">
                  <c:v>0.46</c:v>
                </c:pt>
                <c:pt idx="7">
                  <c:v>0.48</c:v>
                </c:pt>
                <c:pt idx="8">
                  <c:v>0.48</c:v>
                </c:pt>
                <c:pt idx="9">
                  <c:v>0.2</c:v>
                </c:pt>
              </c:numCache>
            </c:numRef>
          </c:val>
          <c:extLst>
            <c:ext xmlns:c="http://schemas.openxmlformats.org/drawingml/2006/chart" xmlns:c16="http://schemas.microsoft.com/office/drawing/2014/chart" uri="{C3380CC4-5D6E-409C-BE32-E72D297353CC}">
              <c16:uniqueId val="{00000000-7DDB-4AD4-BAC0-CD5EA958AE80}"/>
            </c:ext>
          </c:extLst>
        </c:ser>
        <c:gapWidth val="200"/>
        <c:overlap val="100"/>
        <c:axId val="42560847"/>
        <c:axId val="58016258"/>
        <c:extLst>
          <c:ext xmlns:c="http://schemas.openxmlformats.org/drawingml/2006/chart" xmlns:c15="http://schemas.microsoft.com/office/drawing/2012/chart" uri="{02D57815-91ED-43cb-92C2-25804820EDAC}">
            <c15:filteredBarSeries>
              <c15:ser>
                <c:idx val="1"/>
                <c:order val="1"/>
                <c:tx>
                  <c:strRef>
                    <c:extLst>
                      <c:ext uri="{02D57815-91ED-43cb-92C2-25804820EDAC}">
                        <c15:formulaRef>
                          <c15:sqref>Osinko!$G$5</c15:sqref>
                        </c15:formulaRef>
                      </c:ext>
                    </c:extLst>
                    <c:strCache>
                      <c:ptCount val="1"/>
                      <c:pt idx="0">
                        <c:v>Extra dividend per share</c:v>
                      </c:pt>
                    </c:strCache>
                  </c:strRef>
                </c:tx>
                <c:spPr>
                  <a:solidFill xmlns:a="http://schemas.openxmlformats.org/drawingml/2006/main">
                    <a:srgbClr val="CCCCCC"/>
                  </a:solidFill>
                  <a:ln xmlns:a="http://schemas.openxmlformats.org/drawingml/2006/main" cap="flat" cmpd="sng" w="0">
                    <a:solidFill>
                      <a:srgbClr val="CCCCCC"/>
                    </a:solidFill>
                  </a:ln>
                </c:spPr>
                <c:invertIfNegative val="0"/>
                <c:cat>
                  <c:numRef>
                    <c:extLst>
                      <c:ext uri="{02D57815-91ED-43cb-92C2-25804820EDAC}">
                        <c15:formulaRef>
                          <c15:sqref>Osinko!$B$6:$B$15</c15:sqref>
                        </c15:formulaRef>
                      </c:ext>
                    </c:extLst>
                    <c:numCache>
                      <c:formatCode>General</c:formatCode>
                      <c:ptCount val="10"/>
                      <c:pt idx="0">
                        <c:v>11</c:v>
                      </c:pt>
                      <c:pt idx="1">
                        <c:v>12</c:v>
                      </c:pt>
                      <c:pt idx="2">
                        <c:v>13</c:v>
                      </c:pt>
                      <c:pt idx="3">
                        <c:v>14</c:v>
                      </c:pt>
                      <c:pt idx="4">
                        <c:v>15</c:v>
                      </c:pt>
                      <c:pt idx="5">
                        <c:v>16</c:v>
                      </c:pt>
                      <c:pt idx="6">
                        <c:v>17</c:v>
                      </c:pt>
                      <c:pt idx="7">
                        <c:v>18</c:v>
                      </c:pt>
                      <c:pt idx="8">
                        <c:v>19</c:v>
                      </c:pt>
                      <c:pt idx="9">
                        <c:v>20</c:v>
                      </c:pt>
                    </c:numCache>
                  </c:numRef>
                </c:cat>
                <c:val>
                  <c:numRef>
                    <c:extLst>
                      <c:ext uri="{02D57815-91ED-43cb-92C2-25804820EDAC}">
                        <c15:formulaRef>
                          <c15:sqref>Osinko!$G$6:$G$15</c15:sqref>
                        </c15:formulaRef>
                      </c:ext>
                    </c:extLst>
                    <c:numCache>
                      <c:formatCode>General</c:formatCode>
                      <c:ptCount val="10"/>
                    </c:numCache>
                  </c:numRef>
                </c:val>
                <c:extLst>
                  <c:ext xmlns:c16="http://schemas.microsoft.com/office/drawing/2014/chart" uri="{C3380CC4-5D6E-409C-BE32-E72D297353CC}">
                    <c16:uniqueId val="{00000001-7DDB-4AD4-BAC0-CD5EA958AE80}"/>
                  </c:ext>
                </c:extLst>
              </c15:ser>
            </c15:filteredBarSeries>
          </c:ext>
        </c:extLst>
      </c:barChart>
      <c:lineChart>
        <c:grouping val="standard"/>
        <c:varyColors val="0"/>
        <c:ser>
          <c:idx val="2"/>
          <c:order val="1"/>
          <c:tx>
            <c:v>Earnings per share</c:v>
          </c:tx>
          <c:spPr>
            <a:ln w="22225" cap="rnd">
              <a:solidFill>
                <a:srgbClr val="FF7321"/>
              </a:solidFill>
              <a:round/>
            </a:ln>
          </c:spPr>
          <c:marker>
            <c:symbol val="none"/>
          </c:marker>
          <c:dLbls>
            <c:numFmt formatCode="General" sourceLinked="1"/>
            <c:showLegendKey val="0"/>
            <c:showVal val="0"/>
            <c:showCatName val="0"/>
            <c:showSerName val="0"/>
            <c:showPercent val="0"/>
            <c:showBubbleSize val="0"/>
            <c:showLeaderLines val="0"/>
          </c:dLbls>
          <c:cat>
            <c:numRef>
              <c:f>Osinko!$B$6:$B$15</c:f>
              <c:numCache>
                <c:formatCode>General</c:formatCode>
                <c:ptCount val="10"/>
                <c:pt idx="0">
                  <c:v>11</c:v>
                </c:pt>
                <c:pt idx="1">
                  <c:v>12</c:v>
                </c:pt>
                <c:pt idx="2">
                  <c:v>13</c:v>
                </c:pt>
                <c:pt idx="3">
                  <c:v>14</c:v>
                </c:pt>
                <c:pt idx="4">
                  <c:v>15</c:v>
                </c:pt>
                <c:pt idx="5">
                  <c:v>16</c:v>
                </c:pt>
                <c:pt idx="6">
                  <c:v>17</c:v>
                </c:pt>
                <c:pt idx="7">
                  <c:v>18</c:v>
                </c:pt>
                <c:pt idx="8">
                  <c:v>19</c:v>
                </c:pt>
                <c:pt idx="9">
                  <c:v>20</c:v>
                </c:pt>
              </c:numCache>
            </c:numRef>
          </c:cat>
          <c:val>
            <c:numRef>
              <c:f>Osinko!$J$6:$J$15</c:f>
              <c:numCache>
                <c:formatCode>General</c:formatCode>
                <c:ptCount val="10"/>
                <c:pt idx="0">
                  <c:v>0.48</c:v>
                </c:pt>
                <c:pt idx="1">
                  <c:v>0.57</c:v>
                </c:pt>
                <c:pt idx="2">
                  <c:v>0.66</c:v>
                </c:pt>
                <c:pt idx="3">
                  <c:v>0.59</c:v>
                </c:pt>
                <c:pt idx="4">
                  <c:v>0.75</c:v>
                </c:pt>
                <c:pt idx="5">
                  <c:v>0.6</c:v>
                </c:pt>
                <c:pt idx="6">
                  <c:v>0.63</c:v>
                </c:pt>
                <c:pt idx="7">
                  <c:v>0.65</c:v>
                </c:pt>
                <c:pt idx="8">
                  <c:v>0.37</c:v>
                </c:pt>
                <c:pt idx="9">
                  <c:v>0.23</c:v>
                </c:pt>
              </c:numCache>
            </c:numRef>
          </c:val>
          <c:smooth val="0"/>
          <c:extLst>
            <c:ext xmlns:c="http://schemas.openxmlformats.org/drawingml/2006/chart" xmlns:c16="http://schemas.microsoft.com/office/drawing/2014/chart" uri="{C3380CC4-5D6E-409C-BE32-E72D297353CC}">
              <c16:uniqueId val="{00000002-7DDB-4AD4-BAC0-CD5EA958AE80}"/>
            </c:ext>
          </c:extLst>
        </c:ser>
        <c:marker val="1"/>
        <c:axId val="42560847"/>
        <c:axId val="58016258"/>
      </c:lineChart>
      <c:catAx>
        <c:axId val="42560847"/>
        <c:scaling>
          <c:orientation val="minMax"/>
        </c:scaling>
        <c:delete val="0"/>
        <c:axPos val="b"/>
        <c:numFmt formatCode="General" sourceLinked="1"/>
        <c:majorTickMark val="none"/>
        <c:minorTickMark val="none"/>
        <c:tickLblPos val="nextTo"/>
        <c:spPr>
          <a:noFill/>
          <a:ln w="9525">
            <a:solidFill>
              <a:schemeClr val="tx1">
                <a:lumMod val="15000"/>
                <a:lumOff val="85000"/>
              </a:schemeClr>
            </a:solidFill>
            <a:round/>
          </a:ln>
        </c:spPr>
        <c:txPr>
          <a:bodyPr/>
          <a:lstStyle/>
          <a:p>
            <a:pPr>
              <a:defRPr lang="en-US" sz="700" b="1" u="none" baseline="0">
                <a:solidFill>
                  <a:schemeClr val="tx1"/>
                </a:solidFill>
                <a:latin typeface="Arial"/>
                <a:ea typeface="Arial"/>
                <a:cs typeface="Arial"/>
              </a:defRPr>
            </a:pPr>
          </a:p>
        </c:txPr>
        <c:crossAx val="58016258"/>
        <c:crosses val="autoZero"/>
        <c:auto val="1"/>
        <c:lblOffset val="100"/>
        <c:noMultiLvlLbl val="0"/>
      </c:catAx>
      <c:valAx>
        <c:axId val="58016258"/>
        <c:scaling>
          <c:orientation val="minMax"/>
          <c:max val="1"/>
        </c:scaling>
        <c:delete val="0"/>
        <c:axPos val="l"/>
        <c:majorGridlines>
          <c:spPr>
            <a:ln w="9525">
              <a:solidFill>
                <a:schemeClr val="tx1">
                  <a:lumMod val="15000"/>
                  <a:lumOff val="85000"/>
                </a:schemeClr>
              </a:solidFill>
              <a:round/>
            </a:ln>
          </c:spPr>
        </c:majorGridlines>
        <c:title>
          <c:tx>
            <c:rich>
              <a:bodyPr rot="0" vertOverflow="clip" vert="horz"/>
              <a:lstStyle/>
              <a:p>
                <a:pPr algn="ctr">
                  <a:defRPr/>
                </a:pPr>
                <a:r>
                  <a:rPr lang="en-US" u="none" baseline="0">
                    <a:solidFill>
                      <a:schemeClr val="tx1"/>
                    </a:solidFill>
                    <a:latin typeface="Arial"/>
                    <a:ea typeface="Arial"/>
                    <a:cs typeface="Arial"/>
                  </a:rPr>
                  <a:t>EUR</a:t>
                </a:r>
              </a:p>
            </c:rich>
          </c:tx>
          <c:layout>
            <c:manualLayout>
              <c:xMode val="edge"/>
              <c:yMode val="edge"/>
              <c:x val="0"/>
              <c:y val="0.00275"/>
            </c:manualLayout>
          </c:layout>
          <c:overlay val="0"/>
          <c:spPr>
            <a:noFill/>
            <a:ln w="6350">
              <a:noFill/>
            </a:ln>
          </c:spPr>
        </c:title>
        <c:numFmt formatCode="General" sourceLinked="1"/>
        <c:majorTickMark val="none"/>
        <c:minorTickMark val="none"/>
        <c:tickLblPos val="nextTo"/>
        <c:spPr>
          <a:noFill/>
          <a:ln w="6350">
            <a:noFill/>
          </a:ln>
        </c:spPr>
        <c:crossAx val="42560847"/>
        <c:crosses val="autoZero"/>
        <c:crossBetween val="between"/>
        <c:majorUnit val="0.25"/>
      </c:valAx>
      <c:spPr>
        <a:noFill/>
        <a:ln w="6350">
          <a:noFill/>
        </a:ln>
      </c:spPr>
    </c:plotArea>
    <c:legend>
      <c:legendPos val="b"/>
      <c:layout>
        <c:manualLayout>
          <c:xMode val="edge"/>
          <c:yMode val="edge"/>
          <c:x val="0.02775"/>
          <c:y val="0.86025"/>
          <c:w val="0.51625"/>
          <c:h val="0.1395"/>
        </c:manualLayout>
      </c:layout>
      <c:overlay val="0"/>
      <c:spPr>
        <a:noFill/>
        <a:ln w="6350">
          <a:noFill/>
        </a:ln>
      </c:spPr>
    </c:legend>
    <c:plotVisOnly val="1"/>
    <c:dispBlanksAs val="gap"/>
    <c:showDLblsOverMax val="0"/>
  </c:chart>
  <c:spPr>
    <a:solidFill>
      <a:schemeClr val="bg1"/>
    </a:solidFill>
    <a:ln w="9525">
      <a:solidFill>
        <a:schemeClr val="bg1"/>
      </a:solidFill>
      <a:round/>
    </a:ln>
  </c:spPr>
  <c:txPr>
    <a:bodyPr rot="0" vert="horz"/>
    <a:lstStyle/>
    <a:p>
      <a:pPr>
        <a:defRPr lang="en-US" sz="700" u="none" baseline="0">
          <a:solidFill>
            <a:schemeClr val="tx1"/>
          </a:solidFill>
          <a:latin typeface="Arial"/>
          <a:ea typeface="Arial"/>
          <a:cs typeface="Arial"/>
        </a:defRPr>
      </a:pPr>
    </a:p>
  </c:txPr>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5054B-EAA6-4133-AFF1-F84A36B9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91</Pages>
  <Words>44782</Words>
  <Characters>245505</Characters>
  <Application>Microsoft Office Word</Application>
  <DocSecurity>0</DocSecurity>
  <Lines>12</Lines>
  <Paragraphs>7570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Valtasaari, Natalia</cp:lastModifiedBy>
  <cp:revision>96</cp:revision>
  <cp:lastPrinted>2020-10-21T07:41:00Z</cp:lastPrinted>
  <dcterms:created xsi:type="dcterms:W3CDTF">2018-10-29T15:56:00Z</dcterms:created>
  <dcterms:modified xsi:type="dcterms:W3CDTF">2021-01-27T11:40:00Z</dcterms:modified>
</cp:coreProperties>
</file>